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Diese Verordnung lässt die Anwendung des Übereinkommens von Lugano von 2007 unberührt.</w:t>
      </w:r>
    </w:p>
    <w:p>
      <w:r>
        <w:t xml:space="preserve">(2) Diese Verordnung lässt die Anwendung des Übereinkommens von New York von 1958 unberührt.</w:t>
      </w:r>
    </w:p>
    <w:p>
      <w:r>
        <w:t xml:space="preserve">(3) Diese Verordnung lässt die Anwendung der bilateralen Übereinkünfte und Vereinbarungen zwischen einem Drittstaat und einem Mitgliedstaat unberührt, die vor dem Inkrafttreten der Verordnung (EG) Nr. 44/2001 geschlossen wurden und in dieser Verordnung geregelte Angelegenheiten betreffen.</w:t>
      </w:r>
    </w:p>
    <w:p>
      <w:r>
        <w:rPr>
          <w:color w:val="555555"/>
          <w:sz w:val="17"/>
        </w:rPr>
        <w:t xml:space="preserve">Zitiervorschlag: Art 73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https://recht.nulegal.eu/gesetze/EuGVVO/73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