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EuGVVO</w:t>
      </w:r>
    </w:p>
    <w:p>
      <w:r>
        <w:rPr>
          <w:color w:val="555555"/>
          <w:sz w:val="18"/>
        </w:rPr>
        <w:t xml:space="preserve">EuGVVO</w:t>
      </w:r>
    </w:p>
    <w:p>
      <w:r>
        <w:rPr>
          <w:color w:val="555555"/>
          <w:sz w:val="18"/>
        </w:rPr>
        <w:t xml:space="preserve">Stand: 03.07.2026 (konsolidierte Textfassung, kein amtliches Inkrafttretensdatum)</w:t>
      </w:r>
    </w:p>
    <w:p>
      <w:r>
        <w:t xml:space="preserve">Diese Verordnung lässt Vereinbarungen unberührt, durch die sich die Mitgliedstaaten vor Inkrafttreten der Verordnung (EG) Nr. 44/2001 nach Artikel 59 des Brüsseler Übereinkommens von 1968 verpflichtet haben, Entscheidungen der Gerichte eines anderen Vertragsstaats des genannten Übereinkommens gegen Beklagte, die ihren Wohnsitz oder gewöhnlichen Aufenthalt im Hoheitsgebiet eines Drittstaats haben, nicht anzuerkennen, wenn die Entscheidungen in den Fällen des Artikels 4 des genannten Übereinkommens nur in einem der in Artikel 3 Absatz 2 des genannten Übereinkommens angeführten Gerichtsstände ergehen können.</w:t>
      </w:r>
    </w:p>
    <w:p>
      <w:r>
        <w:rPr>
          <w:color w:val="555555"/>
          <w:sz w:val="17"/>
        </w:rPr>
        <w:t xml:space="preserve">Zitiervorschlag: Art 72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https://recht.nulegal.eu/gesetze/EuGVVO/72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