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71c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Die Artikel 29 bis 32 finden Anwendung, wenn ein gemeinsames Gericht und ein Gericht eines Mitgliedstaats, der nicht Vertragspartei der Übereinkunft zur Errichtung des gemeinsamen Gerichts ist, angerufen werden.</w:t>
      </w:r>
    </w:p>
    <w:p>
      <w:r>
        <w:t xml:space="preserve">(2) Die Artikel 29 bis 32 finden Anwendung, wenn während des Übergangszeitraums gemäß Artikel 83 des EPG-Übereinkommens das Einheitliche Patentgericht und ein Gericht eines Mitgliedstaats angerufen werden, der Vertragspartei des EPG-Übereinkommens ist.</w:t>
      </w:r>
    </w:p>
    <w:p>
      <w:r>
        <w:rPr>
          <w:color w:val="555555"/>
          <w:sz w:val="17"/>
        </w:rPr>
        <w:t xml:space="preserve">Zitiervorschlag: Art 71c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https://recht.nulegal.eu/gesetze/EuGVVO/71c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