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71b EuGVVO</w:t>
      </w:r>
    </w:p>
    <w:p>
      <w:r>
        <w:rPr>
          <w:color w:val="555555"/>
          <w:sz w:val="18"/>
        </w:rPr>
        <w:t xml:space="preserve">EuGVVO</w:t>
      </w:r>
    </w:p>
    <w:p>
      <w:r>
        <w:rPr>
          <w:color w:val="555555"/>
          <w:sz w:val="18"/>
        </w:rPr>
        <w:t xml:space="preserve">Stand: 03.07.2026 (konsolidierte Textfassung, kein amtliches Inkrafttretensdatum)</w:t>
      </w:r>
    </w:p>
    <w:p>
      <w:r>
        <w:t xml:space="preserve">Die Zuständigkeit eines gemeinsamen Gerichts wird wie folgt bestimmt:</w:t>
      </w:r>
    </w:p>
    <w:p>
      <w:r>
        <w:t xml:space="preserve">1. Ein gemeinsames Gericht ist zuständig, wenn die Gerichte eines Mitgliedstaats, der Partei der Übereinkunft zur Errichtung des gemeinsamen Gerichts ist, nach Maßgabe dieser Verordnung in einem unter die betreffende Übereinkunft fallenden Rechtsgebiet zuständig wären.</w:t>
      </w:r>
    </w:p>
    <w:p>
      <w:r>
        <w:t xml:space="preserve">2. In Fällen, in denen der Beklagte seinen Wohnsitz nicht in einem Mitgliedstaat hat und diese Verordnung die ihn betreffende gerichtliche Zuständigkeit nicht anderweitig begründet, findet Kapitel II, soweit einschlägig, ungeachtet des Wohnsitzes des Beklagten Anwendung. Einstweilige Maßnahmen einschließlich Sicherungsmaßnahmen können bei einem gemeinsamen Gericht auch dann beantragt werden, wenn für die Entscheidung in der Hauptsache die Gerichte eines Drittstaats zuständig sind.</w:t>
      </w:r>
    </w:p>
    <w:p>
      <w:r>
        <w:t xml:space="preserve">3. Ist ein gemeinsames Gericht hinsichtlich eines Beklagten nach Nummer 2 in einem Rechtsstreit über eine Verletzung eines Europäischen Patents, die zu einem Schaden innerhalb der Union geführt hat, zuständig, kann dieses Gericht seine Zuständigkeit auch hinsichtlich eines aufgrund einer solchen Verletzung außerhalb der Union entstandenen Schadens ausüben. Diese Zuständigkeit kann nur begründet werden, wenn dem Beklagten gehörendes Vermögen in einem Mitgliedstaat belegen ist, der Vertragspartei der Übereinkunft zur Errichtung des gemeinsamen Gerichts ist und der Rechtsstreit einen hinreichenden Bezug zu einem solchen Mitgliedstaat aufweist.</w:t>
      </w:r>
    </w:p>
    <w:p>
      <w:r>
        <w:rPr>
          <w:color w:val="555555"/>
          <w:sz w:val="17"/>
        </w:rPr>
        <w:t xml:space="preserve">Zitiervorschlag: Art 71b EuGVVO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https://recht.nulegal.eu/gesetze/EuGVVO/71b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