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70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Die in Artikel 69 genannten Übereinkünfte behalten ihre Wirksamkeit für die Rechtsgebiete, auf die diese Verordnung nicht anzuwenden ist.</w:t>
      </w:r>
    </w:p>
    <w:p>
      <w:r>
        <w:t xml:space="preserve">(2) Sie bleiben auch weiterhin für die Entscheidungen, öffentlichen Urkunden und gerichtlichen Vergleiche wirksam, die vor dem Inkrafttreten der Verordnung (EG) Nr. 44/2001 ergangen, förmlich errichtet oder eingetragen bzw. gebilligt oder geschlossen worden sind.</w:t>
      </w:r>
    </w:p>
    <w:p>
      <w:r>
        <w:rPr>
          <w:color w:val="555555"/>
          <w:sz w:val="17"/>
        </w:rPr>
        <w:t xml:space="preserve">Zitiervorschlag: Art 70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