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EuGVVO</w:t>
      </w:r>
    </w:p>
    <w:p>
      <w:r>
        <w:rPr>
          <w:color w:val="555555"/>
          <w:sz w:val="18"/>
        </w:rPr>
        <w:t xml:space="preserve">EuGVVO</w:t>
      </w:r>
    </w:p>
    <w:p>
      <w:r>
        <w:rPr>
          <w:color w:val="555555"/>
          <w:sz w:val="18"/>
        </w:rPr>
        <w:t xml:space="preserve">Stand: 03.07.2026 (konsolidierte Textfassung, kein amtliches Inkrafttretensdatum)</w:t>
      </w:r>
    </w:p>
    <w:p>
      <w:r>
        <w:t xml:space="preserve">Eine Person, die ihren Wohnsitz im Hoheitsgebiet eines Mitgliedstaats hat, kann in einem anderen Mitgliedstaat verklagt werden:</w:t>
      </w:r>
    </w:p>
    <w:p>
      <w:r>
        <w:t xml:space="preserve">1. a) wenn ein Vertrag oder Ansprüche aus einem Vertrag den Gegenstand des Verfahrens bilden, vor dem Gericht des Ortes, an dem die Verpflichtung erfüllt worden ist oder zu erfüllen wäre; b) im Sinne dieser Vorschrift — und sofern nichts anderes vereinbart worden ist — ist der Erfüllungsort der Verpflichtung — für den Verkauf beweglicher Sachen der Ort in einem Mitgliedstaat, an dem sie nach dem Vertrag geliefert worden sind oder hätten geliefert werden müssen; — für die Erbringung von Dienstleistungen der Ort in einem Mitgliedstaat, an dem sie nach dem Vertrag erbracht worden sind oder hätten erbracht werden müssen; c) ist Buchstabe b nicht anwendbar, so gilt Buchstabe a;</w:t>
      </w:r>
    </w:p>
    <w:p>
      <w:r>
        <w:t xml:space="preserve">2. wenn eine unerlaubte Handlung oder eine Handlung, die einer unerlaubten Handlung gleichgestellt ist, oder wenn Ansprüche aus einer solchen Handlung den Gegenstand des Verfahrens bilden, vor dem Gericht des Ortes, an dem das schädigende Ereignis eingetreten ist oder einzutreten droht;</w:t>
      </w:r>
    </w:p>
    <w:p>
      <w:r>
        <w:t xml:space="preserve">3. wenn es sich um eine Klage auf Schadenersatz oder auf Wiederherstellung des früheren Zustands handelt, die auf eine mit Strafe bedrohte Handlung gestützt wird, vor dem Strafgericht, bei dem die öffentliche Klage erhoben ist, soweit dieses Gericht nach seinem Recht über zivilrechtliche Ansprüche erkennen kann;</w:t>
      </w:r>
    </w:p>
    <w:p>
      <w:r>
        <w:t xml:space="preserve">4. wenn es sich um einen auf Eigentum gestützten zivilrechtlichen Anspruch zur Wiedererlangung eines Kulturguts im Sinne des Artikels 1 Nummer 1 der Richtlinie 93/7/EWG handelt, der von der Person geltend gemacht wurde, die das Recht auf Wiedererlangung eines solchen Gutes für sich in Anspruch nimmt, vor dem Gericht des Ortes, an dem sich das Kulturgut zum Zeitpunkt der Anrufung des Gerichts befindet;</w:t>
      </w:r>
    </w:p>
    <w:p>
      <w:r>
        <w:t xml:space="preserve">5. wenn es sich um Streitigkeiten aus dem Betrieb einer Zweigniederlassung, einer Agentur oder einer sonstigen Niederlassung handelt, vor dem Gericht des Ortes, an dem sich diese befindet;</w:t>
      </w:r>
    </w:p>
    <w:p>
      <w:r>
        <w:t xml:space="preserve">6. wenn es sich um eine Klage gegen einen Begründer, Trustee oder Begünstigten eines Trust handelt, der aufgrund eines Gesetzes oder durch schriftlich vorgenommenes oder schriftlich bestätigtes Rechtsgeschäft errichtet worden ist, vor den Gerichten des Mitgliedstaats, in dessen Hoheitsgebiet der Trust seinen Sitz hat;</w:t>
      </w:r>
    </w:p>
    <w:p>
      <w:r>
        <w:t xml:space="preserve">7. wenn es sich um eine Streitigkeit wegen der Zahlung von Berge- und Hilfslohn handelt, der für Bergungs- oder Hilfeleistungsarbeiten gefordert wird, die zugunsten einer Ladung oder einer Frachtforderung erbracht worden sind, vor dem Gericht, in dessen Zuständigkeitsbereich diese Ladung oder die entsprechende Frachtforderung a) mit Arrest belegt worden ist, um die Zahlung zu gewährleisten, oder b) mit Arrest hätte belegt werden können, jedoch dafür eine Bürgschaft oder eine andere Sicherheit geleistet worden ist; diese Vorschrift ist nur anzuwenden, wenn behauptet wird, dass der Beklagte Rechte an der Ladung oder an der Frachtforderung hat oder zur Zeit der Bergungs- oder Hilfeleistungsarbeiten hatte.</w:t>
      </w:r>
    </w:p>
    <w:p>
      <w:r>
        <w:rPr>
          <w:color w:val="555555"/>
          <w:sz w:val="17"/>
        </w:rPr>
        <w:t xml:space="preserve">Zitiervorschlag: Art 7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https://recht.nulegal.eu/gesetze/EuGVVO/7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