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69 EuGVVO</w:t>
      </w:r>
    </w:p>
    <w:p>
      <w:r>
        <w:rPr>
          <w:color w:val="555555"/>
          <w:sz w:val="18"/>
        </w:rPr>
        <w:t xml:space="preserve">EuGVVO</w:t>
      </w:r>
    </w:p>
    <w:p>
      <w:r>
        <w:rPr>
          <w:color w:val="555555"/>
          <w:sz w:val="18"/>
        </w:rPr>
        <w:t xml:space="preserve">Stand: 03.07.2026 (konsolidierte Textfassung, kein amtliches Inkrafttretensdatum)</w:t>
      </w:r>
    </w:p>
    <w:p>
      <w:r>
        <w:t xml:space="preserve">Diese Verordnung ersetzt unbeschadet der Artikel 70 und 71 im Verhältnis zwischen den Mitgliedstaaten die Übereinkünfte, die sich auf dieselben Rechtsgebiete erstrecken wie diese Verordnung. Ersetzt werden insbesondere die Übereinkünfte, die in der von der Kommission nach Artikel 76 Absatz 1 Buchstabe c und Artikel 76 Absatz 2 festgelegten Liste aufgeführt sind.</w:t>
      </w:r>
    </w:p>
    <w:p>
      <w:r>
        <w:rPr>
          <w:color w:val="555555"/>
          <w:sz w:val="17"/>
        </w:rPr>
        <w:t xml:space="preserve">Zitiervorschlag: Art 69 EuGVVO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https://recht.nulegal.eu/gesetze/EuGVVO/69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