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66 EuGVVO</w:t>
      </w:r>
    </w:p>
    <w:p>
      <w:r>
        <w:rPr>
          <w:color w:val="555555"/>
          <w:sz w:val="18"/>
        </w:rPr>
        <w:t xml:space="preserve">EuGVVO</w:t>
      </w:r>
    </w:p>
    <w:p>
      <w:r>
        <w:rPr>
          <w:color w:val="555555"/>
          <w:sz w:val="18"/>
        </w:rPr>
        <w:t xml:space="preserve">Stand: 03.07.2026 (konsolidierte Textfassung, kein amtliches Inkrafttretensdatum)</w:t>
      </w:r>
    </w:p>
    <w:p>
      <w:r>
        <w:t xml:space="preserve">(1) Diese Verordnung ist nur auf Verfahren, öffentliche Urkunden oder gerichtliche Vergleiche anzuwenden, die am 10. Januar 2015 oder danach eingeleitet, förmlich errichtet oder eingetragen bzw. gebilligt oder geschlossen worden sind.</w:t>
      </w:r>
    </w:p>
    <w:p>
      <w:r>
        <w:t xml:space="preserve">(2) Ungeachtet des Artikels 80 gilt die Verordnung (EG) Nr. 44/2001 weiterhin für Entscheidungen, die in vor dem 10. Januar 2015 eingeleiteten gerichtlichen Verfahren ergangen sind, für vor diesem Zeitpunkt förmlich errichtete oder eingetragene öffentliche Urkunden sowie für vor diesem Zeitpunkt gebilligte oder geschlossene gerichtliche Vergleiche, sofern sie in den Anwendungsbereich der genannten Verordnung fallen.</w:t>
      </w:r>
    </w:p>
    <w:p>
      <w:r>
        <w:rPr>
          <w:color w:val="555555"/>
          <w:sz w:val="17"/>
        </w:rPr>
        <w:t xml:space="preserve">Zitiervorschlag: Art 66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https://recht.nulegal.eu/gesetze/EuGVVO/66</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