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EuGVVO</w:t>
      </w:r>
    </w:p>
    <w:p>
      <w:r>
        <w:rPr>
          <w:color w:val="555555"/>
          <w:sz w:val="18"/>
        </w:rPr>
        <w:t xml:space="preserve">EuGVVO</w:t>
      </w:r>
    </w:p>
    <w:p>
      <w:r>
        <w:rPr>
          <w:color w:val="555555"/>
          <w:sz w:val="18"/>
        </w:rPr>
        <w:t xml:space="preserve">Stand: 03.07.2026 (konsolidierte Textfassung, kein amtliches Inkrafttretensdatum)</w:t>
      </w:r>
    </w:p>
    <w:p>
      <w:r>
        <w:t xml:space="preserve">(1) Die in Artikel 8 Nummer 2 und Artikel 13 für eine Gewährleistungs- oder Interventionsklage vorgesehene Zuständigkeit kann in den Mitgliedstaaten, die in der von der Kommission nach Artikel 76 Absatz 1 Buchstabe b und Artikel 76 Absatz 2 festgelegten Liste aufgeführt sind, nur geltend gemacht werden, soweit das einzelstaatliche Recht dies zulässt. Eine Person, die ihren Wohnsitz in einem anderen Mitgliedstaat hat, kann aufgefordert werden, nach den Vorschriften über die Streitverkündung gemäß der genannten Liste einem Verfahren vor einem Gericht dieser Mitgliedstaaten beizutreten.</w:t>
      </w:r>
    </w:p>
    <w:p>
      <w:r>
        <w:t xml:space="preserve">(2) Entscheidungen, die in einem Mitgliedstaat aufgrund des Artikels 8 Nummer 2 oder des Artikels 13 ergangen sind, werden nach Kapitel III in allen anderen Mitgliedstaaten anerkannt und vollstreckt. Die Wirkungen, welche die Entscheidungen, die in den in der Liste nach Absatz 1 aufgeführten Mitgliedstaaten ergangen sind, gemäß dem Recht dieser Mitgliedstaaten infolge der Anwendung von Absatz 1 gegenüber Dritten haben, werden in den allen Mitgliedstaaten anerkannt.</w:t>
      </w:r>
    </w:p>
    <w:p>
      <w:r>
        <w:t xml:space="preserve">(3) Die in der Liste nach Absatz 1 aufgeführten Mitgliedstaaten übermitteln im Rahmen des durch die Entscheidung 2001/470/EG des Rates ( 3 ) errichteten Europäischen Justiziellen Netzes für Zivil- und Handelssachen („Europäisches Justizielles Netz“) Informationen darüber, wie nach Maßgabe ihres innerstaatlichen Rechts die in Absatz 2 Satz 2 genannten Wirkungen der Entscheidungen bestimmt werden können.</w:t>
      </w:r>
    </w:p>
    <w:p>
      <w:r>
        <w:rPr>
          <w:color w:val="555555"/>
          <w:sz w:val="17"/>
        </w:rPr>
        <w:t xml:space="preserve">Zitiervorschlag: Art 65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https://recht.nulegal.eu/gesetze/EuGVVO/65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