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61 EuGVVO</w:t>
      </w:r>
    </w:p>
    <w:p>
      <w:r>
        <w:rPr>
          <w:color w:val="555555"/>
          <w:sz w:val="18"/>
        </w:rPr>
        <w:t xml:space="preserve">EuGVVO</w:t>
      </w:r>
    </w:p>
    <w:p>
      <w:r>
        <w:rPr>
          <w:color w:val="555555"/>
          <w:sz w:val="18"/>
        </w:rPr>
        <w:t xml:space="preserve">Stand: 03.07.2026 (konsolidierte Textfassung, kein amtliches Inkrafttretensdatum)</w:t>
      </w:r>
    </w:p>
    <w:p>
      <w:r>
        <w:t xml:space="preserve">Im Rahmen dieser Verordnung bedarf es hinsichtlich Urkunden, die in einem Mitgliedstaat ausgestellt werden, weder der Legalisation noch einer ähnlichen Förmlichkeit.</w:t>
      </w:r>
    </w:p>
    <w:p>
      <w:r>
        <w:rPr>
          <w:color w:val="555555"/>
          <w:sz w:val="17"/>
        </w:rPr>
        <w:t xml:space="preserve">Zitiervorschlag: Art 61 EuGVVO</w:t>
      </w:r>
    </w:p>
    <w:p>
      <w:r>
        <w:rPr>
          <w:color w:val="555555"/>
          <w:sz w:val="17"/>
        </w:rPr>
        <w:t xml:space="preserve">Quelle: EUR-Lex, abgerufen 03.07.2026</w:t>
      </w:r>
    </w:p>
    <w:p>
      <w:r>
        <w:rPr>
          <w:color w:val="555555"/>
          <w:sz w:val="17"/>
        </w:rPr>
        <w:t xml:space="preserve">Nicht-amtliche konsolidierte Fassung — verbindlich ist der im Amtsblatt der Europäischen Union veröffentlichte Wortlaut (eur-lex.europa.eu: https://eur-lex.europa.eu)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https://recht.nulegal.eu/gesetze/EuGVVO/61</w:t>
      </w:r>
    </w:p>
    <w:p>
      <w:r>
        <w:rPr>
          <w:color w:val="767676"/>
          <w:sz w:val="15"/>
        </w:rPr>
        <w:t xml:space="preserve">nu:legal · recht.nulegal.eu · Nicht-amtliche Lesefassung. Amtliche Fassung: eur-lex.europa.eu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