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59 EuGVVO</w:t>
      </w:r>
    </w:p>
    <w:p>
      <w:r>
        <w:rPr>
          <w:color w:val="555555"/>
          <w:sz w:val="18"/>
        </w:rPr>
        <w:t xml:space="preserve">EuGVVO</w:t>
      </w:r>
    </w:p>
    <w:p>
      <w:r>
        <w:rPr>
          <w:color w:val="555555"/>
          <w:sz w:val="18"/>
        </w:rPr>
        <w:t xml:space="preserve">Stand: 03.07.2026 (konsolidierte Textfassung, kein amtliches Inkrafttretensdatum)</w:t>
      </w:r>
    </w:p>
    <w:p>
      <w:r>
        <w:t xml:space="preserve">Gerichtliche Vergleiche, die im Ursprungsmitgliedstaat vollstreckbar sind, werden in den anderen Mitgliedstaaten unter denselben Bedingungen wie öffentliche Urkunden vollstreckt.</w:t>
      </w:r>
    </w:p>
    <w:p>
      <w:r>
        <w:rPr>
          <w:color w:val="555555"/>
          <w:sz w:val="17"/>
        </w:rPr>
        <w:t xml:space="preserve">Zitiervorschlag: Art 59 EuGVVO</w:t>
      </w:r>
    </w:p>
    <w:p>
      <w:r>
        <w:rPr>
          <w:color w:val="555555"/>
          <w:sz w:val="17"/>
        </w:rPr>
        <w:t xml:space="preserve">Quelle: EUR-Lex, abgerufen 03.07.2026</w:t>
      </w:r>
    </w:p>
    <w:p>
      <w:r>
        <w:rPr>
          <w:color w:val="555555"/>
          <w:sz w:val="17"/>
        </w:rPr>
        <w:t xml:space="preserve">Nicht-amtliche konsolidierte Fassung — verbindlich ist der im Amtsblatt der Europäischen Union veröffentlichte Wortlaut (eur-lex.europa.eu: https://eur-lex.europa.eu)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https://recht.nulegal.eu/gesetze/EuGVVO/59</w:t>
      </w:r>
    </w:p>
    <w:p>
      <w:r>
        <w:rPr>
          <w:color w:val="767676"/>
          <w:sz w:val="15"/>
        </w:rPr>
        <w:t xml:space="preserve">nu:legal · recht.nulegal.eu · Nicht-amtliche Lesefassung. Amtliche Fassung: eur-lex.europa.eu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