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56 EuGVVO</w:t>
      </w:r>
    </w:p>
    <w:p>
      <w:r>
        <w:rPr>
          <w:color w:val="555555"/>
          <w:sz w:val="18"/>
        </w:rPr>
        <w:t xml:space="preserve">EuGVVO</w:t>
      </w:r>
    </w:p>
    <w:p>
      <w:r>
        <w:rPr>
          <w:color w:val="555555"/>
          <w:sz w:val="18"/>
        </w:rPr>
        <w:t xml:space="preserve">Stand: 03.07.2026 (konsolidierte Textfassung, kein amtliches Inkrafttretensdatum)</w:t>
      </w:r>
    </w:p>
    <w:p>
      <w:r>
        <w:t xml:space="preserve">Der Partei, die in einem Mitgliedstaat eine in einem anderen Mitgliedstaat ergangene Entscheidung vollstrecken will, darf wegen ihrer Eigenschaft als Ausländer oder wegen Fehlens eines Wohnsitzes oder Aufenthalts im ersuchten Mitgliedstaat eine Sicherheitsleistung oder Hinterlegung, unter welcher Bezeichnung es auch sei, nicht auferlegt werden.</w:t>
      </w:r>
    </w:p>
    <w:p>
      <w:r>
        <w:rPr>
          <w:color w:val="555555"/>
          <w:sz w:val="17"/>
        </w:rPr>
        <w:t xml:space="preserve">Zitiervorschlag: Art 56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