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Art 55 EuGVVO</w:t>
      </w:r>
    </w:p>
    <w:p>
      <w:r>
        <w:rPr>
          <w:color w:val="555555"/>
          <w:sz w:val="18"/>
        </w:rPr>
        <w:t xml:space="preserve">EuGVVO</w:t>
      </w:r>
    </w:p>
    <w:p>
      <w:r>
        <w:rPr>
          <w:color w:val="555555"/>
          <w:sz w:val="18"/>
        </w:rPr>
        <w:t xml:space="preserve">Stand: 03.07.2026 (konsolidierte Textfassung, kein amtliches Inkrafttretensdatum)</w:t>
      </w:r>
    </w:p>
    <w:p>
      <w:r>
        <w:t xml:space="preserve">In einem Mitgliedstaat ergangene Entscheidungen, die auf Zahlung eines Zwangsgelds lauten, sind im ersuchten Mitgliedstaat nur vollstreckbar, wenn die Höhe des Zwangsgelds durch das Ursprungsgericht endgültig festgesetzt ist.</w:t>
      </w:r>
    </w:p>
    <w:p>
      <w:r>
        <w:rPr>
          <w:color w:val="555555"/>
          <w:sz w:val="17"/>
        </w:rPr>
        <w:t xml:space="preserve">Zitiervorschlag: Art 55 EuGVVO</w:t>
      </w:r>
    </w:p>
    <w:p>
      <w:r>
        <w:rPr>
          <w:color w:val="555555"/>
          <w:sz w:val="17"/>
        </w:rPr>
        <w:t xml:space="preserve">Quelle: EUR-Lex, abgerufen 03.07.2026</w:t>
      </w:r>
    </w:p>
    <w:p>
      <w:r>
        <w:rPr>
          <w:color w:val="555555"/>
          <w:sz w:val="17"/>
        </w:rPr>
        <w:t xml:space="preserve">Nicht-amtliche konsolidierte Fassung — verbindlich ist der im Amtsblatt der Europäischen Union veröffentlichte Wortlaut (eur-lex.europa.eu: https://eur-lex.europa.eu)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https://recht.nulegal.eu/gesetze/EuGVVO/55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