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54 EuGVVO</w:t>
      </w:r>
    </w:p>
    <w:p>
      <w:r>
        <w:rPr>
          <w:color w:val="555555"/>
          <w:sz w:val="18"/>
        </w:rPr>
        <w:t xml:space="preserve">EuGVVO</w:t>
      </w:r>
    </w:p>
    <w:p>
      <w:r>
        <w:rPr>
          <w:color w:val="555555"/>
          <w:sz w:val="18"/>
        </w:rPr>
        <w:t xml:space="preserve">Stand: 03.07.2026 (konsolidierte Textfassung, kein amtliches Inkrafttretensdatum)</w:t>
      </w:r>
    </w:p>
    <w:p>
      <w:r>
        <w:t xml:space="preserve">(1) Enthält eine Entscheidung eine Maßnahme oder Anordnung, die im Recht des ersuchten Mitgliedstaats nicht bekannt ist, so ist diese Maßnahme oder Anordnung soweit möglich an eine im Recht dieses Mitgliedstaats bekannte Maßnahme oder Anordnung anzupassen, mit der vergleichbare Wirkungen verbunden sind und die ähnliche Ziele und Interessen verfolgt.</w:t>
      </w:r>
    </w:p>
    <w:p>
      <w:r>
        <w:t xml:space="preserve">Eine solche Anpassung darf nicht dazu führen, dass Wirkungen entstehen, die über die im Recht des Ursprungsmitgliedstaats vorgesehenen Wirkungen hinausgehen.</w:t>
      </w:r>
    </w:p>
    <w:p>
      <w:r>
        <w:t xml:space="preserve">(2) Jede Partei kann die Anpassung der Maßnahme oder Anordnung vor einem Gericht anfechten.</w:t>
      </w:r>
    </w:p>
    <w:p>
      <w:r>
        <w:t xml:space="preserve">(3) Die Partei, die die Entscheidung geltend macht oder deren Vollstreckung beantragt, kann erforderlichenfalls aufgefordert werden, eine Übersetzung oder Transliteration der Entscheidung zur Verfügung zu stellen.</w:t>
      </w:r>
    </w:p>
    <w:p>
      <w:r>
        <w:rPr>
          <w:color w:val="555555"/>
          <w:sz w:val="17"/>
        </w:rPr>
        <w:t xml:space="preserve">Zitiervorschlag: Art 54 EuGVVO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https://recht.nulegal.eu/gesetze/EuGVVO/54</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