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Personen, die ihren Wohnsitz im Hoheitsgebiet eines Mitgliedstaats haben, können vor den Gerichten eines anderen Mitgliedstaats nur gemäß den Vorschriften der Abschnitte 2 bis 7 dieses Kapitels verklagt werden.</w:t>
      </w:r>
    </w:p>
    <w:p>
      <w:r>
        <w:t xml:space="preserve">(2) Gegen die in Absatz 1 genannten Personen können insbesondere nicht die innerstaatlichen Zuständigkeitsvorschriften, welche die Mitgliedstaaten der Kommission gemäß Artikel 76 Absatz 1 Buchstabe a notifizieren, geltend gemacht werden.</w:t>
      </w:r>
    </w:p>
    <w:p>
      <w:r>
        <w:rPr>
          <w:color w:val="555555"/>
          <w:sz w:val="17"/>
        </w:rPr>
        <w:t xml:space="preserve">Zitiervorschlag: Art 5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