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Gegen die Entscheidung über den Antrag auf Versagung der Vollstreckung kann jede Partei einen Rechtsbehelf einlegen.</w:t>
      </w:r>
    </w:p>
    <w:p>
      <w:r>
        <w:t xml:space="preserve">(2) Der Rechtsbehelf ist bei dem Gericht einzulegen, das der Kommission von dem betreffenden Mitgliedstaat gemäß Artikel 75 Buchstabe b mitgeteilt wurde.</w:t>
      </w:r>
    </w:p>
    <w:p>
      <w:r>
        <w:rPr>
          <w:color w:val="555555"/>
          <w:sz w:val="17"/>
        </w:rPr>
        <w:t xml:space="preserve">Zitiervorschlag: Art 49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https://recht.nulegal.eu/gesetze/EuGVVO/49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