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47 EuGVVO</w:t>
      </w:r>
    </w:p>
    <w:p>
      <w:r>
        <w:rPr>
          <w:color w:val="555555"/>
          <w:sz w:val="18"/>
        </w:rPr>
        <w:t xml:space="preserve">EuGVVO</w:t>
      </w:r>
    </w:p>
    <w:p>
      <w:r>
        <w:rPr>
          <w:color w:val="555555"/>
          <w:sz w:val="18"/>
        </w:rPr>
        <w:t xml:space="preserve">Stand: 03.07.2026 (konsolidierte Textfassung, kein amtliches Inkrafttretensdatum)</w:t>
      </w:r>
    </w:p>
    <w:p>
      <w:r>
        <w:t xml:space="preserve">(1) Der Antrag auf Versagung der Vollstreckung ist an das Gericht zu richten, das der Kommission von dem betreffenden Mitgliedstaat gemäß Artikel 75 Buchstabe a mitgeteilt wurde.</w:t>
      </w:r>
    </w:p>
    <w:p>
      <w:r>
        <w:t xml:space="preserve">(2) Für das Verfahren zur Versagung der Vollstreckung ist, soweit es nicht durch diese Verordnung geregelt ist, das Recht des ersuchten Mitgliedstaats maßgebend.</w:t>
      </w:r>
    </w:p>
    <w:p>
      <w:r>
        <w:t xml:space="preserve">(3) Der Antragsteller legt dem Gericht eine Ausfertigung der Entscheidung und gegebenenfalls eine Übersetzung oder Transliteration der Entscheidung vor.</w:t>
      </w:r>
    </w:p>
    <w:p>
      <w:r>
        <w:t xml:space="preserve">Das Gericht kann auf die Vorlage der in Unterabsatz 1 genannten Schriftstücke verzichten, wenn ihm die Schriftstücke bereits vorliegen oder wenn es das Gericht für unzumutbar hält, vom Antragsteller die Vorlage der Schriftstücke zu verlangen. Im letztgenannten Fall kann das Gericht von der anderen Partei verlangen, diese Schriftstücke vorzulegen.</w:t>
      </w:r>
    </w:p>
    <w:p>
      <w:r>
        <w:t xml:space="preserve">(4) Von der Partei, die die Versagung der Vollstreckung einer in einem anderen Mitgliedstaat ergangenen Entscheidung beantragt, kann nicht verlangt werden, dass sie im ersuchten Mitgliedstaat über eine Postanschrift verfügt. Es kann von ihr auch nicht verlangt werden, dass sie im ersuchten Mitgliedstaat über einen bevollmächtigten Vertreter verfügt, es sei denn, ein solcher Vertreter ist ungeachtet der Staatsangehörigkeit oder des Wohnsitzes der Parteien vorgeschrieben.</w:t>
      </w:r>
    </w:p>
    <w:p>
      <w:r>
        <w:rPr>
          <w:color w:val="555555"/>
          <w:sz w:val="17"/>
        </w:rPr>
        <w:t xml:space="preserve">Zitiervorschlag: Art 47 EuGVVO</w:t>
      </w:r>
    </w:p>
    <w:p>
      <w:r>
        <w:rPr>
          <w:color w:val="555555"/>
          <w:sz w:val="17"/>
        </w:rPr>
        <w:t xml:space="preserve">Quelle: EUR-Lex, abgerufen 03.07.2026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https://recht.nulegal.eu/gesetze/EuGVVO/47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