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46 EuGVVO</w:t>
      </w:r>
    </w:p>
    <w:p>
      <w:r>
        <w:rPr>
          <w:color w:val="555555"/>
          <w:sz w:val="18"/>
        </w:rPr>
        <w:t xml:space="preserve">EuGVVO</w:t>
      </w:r>
    </w:p>
    <w:p>
      <w:r>
        <w:rPr>
          <w:color w:val="555555"/>
          <w:sz w:val="18"/>
        </w:rPr>
        <w:t xml:space="preserve">Stand: 03.07.2026 (konsolidierte Textfassung, kein amtliches Inkrafttretensdatum)</w:t>
      </w:r>
    </w:p>
    <w:p>
      <w:r>
        <w:t xml:space="preserve">Die Vollstreckung einer Entscheidung wird auf Antrag des Schuldners versagt, wenn festgestellt wird, dass einer der in Artikel 45 genannten Gründe gegeben ist.</w:t>
      </w:r>
    </w:p>
    <w:p>
      <w:r>
        <w:rPr>
          <w:color w:val="555555"/>
          <w:sz w:val="17"/>
        </w:rPr>
        <w:t xml:space="preserve">Zitiervorschlag: Art 46 EuGVVO</w:t>
      </w:r>
    </w:p>
    <w:p>
      <w:r>
        <w:rPr>
          <w:color w:val="555555"/>
          <w:sz w:val="17"/>
        </w:rPr>
        <w:t xml:space="preserve">Quelle: EUR-Lex, abgerufen 03.07.2026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https://recht.nulegal.eu/gesetze/EuGVVO/46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