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44 EuGVVO</w:t>
      </w:r>
    </w:p>
    <w:p>
      <w:r>
        <w:rPr>
          <w:color w:val="555555"/>
          <w:sz w:val="18"/>
        </w:rPr>
        <w:t xml:space="preserve">EuGVVO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(1) Wurde eine Versagung der Vollstreckung einer Entscheidung gemäß Abschnitt 3 Unterabschnitt 2 beantragt, so kann das Gericht im ersuchten Mitgliedstaat auf Antrag des Schuldners</w:t>
      </w:r>
    </w:p>
    <w:p>
      <w:r>
        <w:t xml:space="preserve">a) das Vollstreckungsverfahren auf Sicherungsmaßnahmen beschränken,</w:t>
      </w:r>
    </w:p>
    <w:p>
      <w:r>
        <w:t xml:space="preserve">b) die Vollstreckung von der Leistung einer vom Gericht zu bestimmenden Sicherheit abhängig machen oder</w:t>
      </w:r>
    </w:p>
    <w:p>
      <w:r>
        <w:t xml:space="preserve">c) das Vollstreckungsverfahren insgesamt oder teilweise aussetzen.</w:t>
      </w:r>
    </w:p>
    <w:p>
      <w:r>
        <w:t xml:space="preserve">(2) Die zuständige Behörde des ersuchten Mitgliedstaats setzt das Vollstreckungsverfahren auf Antrag des Schuldners aus, wenn die Vollstreckbarkeit der Entscheidung im Ursprungsmitgliedstaat ausgesetzt ist.</w:t>
      </w:r>
    </w:p>
    <w:p>
      <w:r>
        <w:rPr>
          <w:color w:val="555555"/>
          <w:sz w:val="17"/>
        </w:rPr>
        <w:t xml:space="preserve">Zitiervorschlag: Art 44 EuGVVO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https://recht.nulegal.eu/gesetze/EuGVVO/44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