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4 EuGVVO</w:t>
      </w:r>
    </w:p>
    <w:p>
      <w:r>
        <w:rPr>
          <w:color w:val="555555"/>
          <w:sz w:val="18"/>
        </w:rPr>
        <w:t xml:space="preserve">EuGVVO</w:t>
      </w:r>
    </w:p>
    <w:p>
      <w:r>
        <w:rPr>
          <w:color w:val="555555"/>
          <w:sz w:val="18"/>
        </w:rPr>
        <w:t xml:space="preserve">Stand: 03.07.2026 (konsolidierte Textfassung, kein amtliches Inkrafttretensdatum)</w:t>
      </w:r>
    </w:p>
    <w:p>
      <w:r>
        <w:t xml:space="preserve">(1) Vorbehaltlich der Vorschriften dieser Verordnung sind Personen, die ihren Wohnsitz im Hoheitsgebiet eines Mitgliedstaats haben, ohne Rücksicht auf ihre Staatsangehörigkeit vor den Gerichten dieses Mitgliedstaats zu verklagen.</w:t>
      </w:r>
    </w:p>
    <w:p>
      <w:r>
        <w:t xml:space="preserve">(2) Auf Personen, die nicht dem Mitgliedstaat, in dem sie ihren Wohnsitz haben, angehören, sind die für Staatsangehörige dieses Mitgliedstaats maßgebenden Zuständigkeitsvorschriften anzuwenden.</w:t>
      </w:r>
    </w:p>
    <w:p>
      <w:r>
        <w:rPr>
          <w:color w:val="555555"/>
          <w:sz w:val="17"/>
        </w:rPr>
        <w:t xml:space="preserve">Zitiervorschlag: Art 4 EuGVVO</w:t>
      </w:r>
    </w:p>
    <w:p>
      <w:r>
        <w:rPr>
          <w:color w:val="555555"/>
          <w:sz w:val="17"/>
        </w:rPr>
        <w:t xml:space="preserve">Quelle: EUR-Lex, abgerufen 03.07.2026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https://recht.nulegal.eu/gesetze/EuGVVO/4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