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38 EuGVVO</w:t>
      </w:r>
    </w:p>
    <w:p>
      <w:r>
        <w:rPr>
          <w:color w:val="555555"/>
          <w:sz w:val="18"/>
        </w:rPr>
        <w:t xml:space="preserve">EuGVVO</w:t>
      </w:r>
    </w:p>
    <w:p>
      <w:r>
        <w:rPr>
          <w:color w:val="555555"/>
          <w:sz w:val="18"/>
        </w:rPr>
        <w:t xml:space="preserve">Stand: 03.07.2026 (konsolidierte Textfassung, kein amtliches Inkrafttretensdatum)</w:t>
      </w:r>
    </w:p>
    <w:p>
      <w:r>
        <w:t xml:space="preserve">Das Gericht oder die Behörde, bei dem bzw. der eine in einem anderen Mitgliedstaat ergangene Entscheidung geltend gemacht wird, kann das Verfahren ganz oder teilweise aussetzen, wenn</w:t>
      </w:r>
    </w:p>
    <w:p>
      <w:r>
        <w:t xml:space="preserve">a) die Entscheidung im Ursprungsmitgliedstaat angefochten wird oder</w:t>
      </w:r>
    </w:p>
    <w:p>
      <w:r>
        <w:t xml:space="preserve">b) die Feststellung, dass keiner der in Artikel 45 genannten Gründe für eine Versagung der Anerkennung gegeben ist, oder die Feststellung, dass die Anerkennung aus einem dieser Gründe zu versagen ist, beantragt worden ist.</w:t>
      </w:r>
    </w:p>
    <w:p>
      <w:r>
        <w:rPr>
          <w:color w:val="555555"/>
          <w:sz w:val="17"/>
        </w:rPr>
        <w:t xml:space="preserve">Zitiervorschlag: Art 38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https://recht.nulegal.eu/gesetze/EuGVVO/38</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