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Die in einem Mitgliedstaat ergangenen Entscheidungen werden in den anderen Mitgliedstaaten anerkannt, ohne dass es hierfür eines besonderen Verfahrens bedarf.</w:t>
      </w:r>
    </w:p>
    <w:p>
      <w:r>
        <w:t xml:space="preserve">(2) Jeder Berechtigte kann gemäß dem Verfahren nach Abschnitt 3 Unterabschnitt 2 die Feststellung beantragen, dass keiner der in Artikel 45 genannten Gründe für eine Versagung der Anerkennung gegeben ist.</w:t>
      </w:r>
    </w:p>
    <w:p>
      <w:r>
        <w:t xml:space="preserve">(3) Wird die Anerkennung in einem Rechtsstreit vor dem Gericht eines Mitgliedstaats, dessen Entscheidung von der Versagung der Anerkennung abhängt, verlangt, so kann dieses Gericht über die Anerkennung entscheiden.</w:t>
      </w:r>
    </w:p>
    <w:p>
      <w:r>
        <w:rPr>
          <w:color w:val="555555"/>
          <w:sz w:val="17"/>
        </w:rPr>
        <w:t xml:space="preserve">Zitiervorschlag: Art 36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https://recht.nulegal.eu/gesetze/EuGVVO/36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