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EuGVVO</w:t>
      </w:r>
    </w:p>
    <w:p>
      <w:r>
        <w:rPr>
          <w:color w:val="555555"/>
          <w:sz w:val="18"/>
        </w:rPr>
        <w:t xml:space="preserve">EuGVVO</w:t>
      </w:r>
    </w:p>
    <w:p>
      <w:r>
        <w:rPr>
          <w:color w:val="555555"/>
          <w:sz w:val="18"/>
        </w:rPr>
        <w:t xml:space="preserve">Stand: 03.07.2026 (konsolidierte Textfassung, kein amtliches Inkrafttretensdatum)</w:t>
      </w:r>
    </w:p>
    <w:p>
      <w:r>
        <w:t xml:space="preserve">Die im Recht eines Mitgliedstaats vorgesehenen einstweiligen Maßnahmen einschließlich Sicherungsmaßnahmen können bei den Gerichten dieses Mitgliedstaats auch dann beantragt werden, wenn für die Entscheidung in der Hauptsache das Gericht eines anderen Mitgliedstaats zuständig ist.</w:t>
      </w:r>
    </w:p>
    <w:p>
      <w:r>
        <w:rPr>
          <w:color w:val="555555"/>
          <w:sz w:val="17"/>
        </w:rPr>
        <w:t xml:space="preserve">Zitiervorschlag: Art 35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