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34 EuGVVO</w:t>
      </w:r>
    </w:p>
    <w:p>
      <w:r>
        <w:rPr>
          <w:color w:val="555555"/>
          <w:sz w:val="18"/>
        </w:rPr>
        <w:t xml:space="preserve">EuGVVO</w:t>
      </w:r>
    </w:p>
    <w:p>
      <w:r>
        <w:rPr>
          <w:color w:val="555555"/>
          <w:sz w:val="18"/>
        </w:rPr>
        <w:t xml:space="preserve">Stand: 03.07.2026 (konsolidierte Textfassung, kein amtliches Inkrafttretensdatum)</w:t>
      </w:r>
    </w:p>
    <w:p>
      <w:r>
        <w:t xml:space="preserve">(1) Beruht die Zuständigkeit auf Artikel 4 oder auf den Artikeln 7, 8 oder 9 und ist bei Anrufung eines Gerichts eines Mitgliedstaats vor einem Gericht eines Drittstaats ein Verfahren anhängig, das mit dem Verfahren vor dem Gericht des Mitgliedstaats in Zusammenhang steht, so kann das Gericht des Mitgliedstaats das Verfahren aussetzen, wenn</w:t>
      </w:r>
    </w:p>
    <w:p>
      <w:r>
        <w:t xml:space="preserve">a) eine gemeinsame Verhandlung und Entscheidung der in Zusammenhang stehenden Verfahren geboten erscheint, um zu vermeiden, dass in getrennten Verfahren widersprechende Entscheidungen ergehen könnten,</w:t>
      </w:r>
    </w:p>
    <w:p>
      <w:r>
        <w:t xml:space="preserve">b) zu erwarten ist, dass das Gericht des Drittstaats eine Entscheidung erlassen wird, die in dem betreffenden Mitgliedstaat anerkannt und gegebenenfalls vollstreckt werden kann, und</w:t>
      </w:r>
    </w:p>
    <w:p>
      <w:r>
        <w:t xml:space="preserve">c) das Gericht des Mitgliedstaats davon überzeugt ist, dass die Aussetzung im Interesse einer geordneten Rechtspflege erforderlich ist.</w:t>
      </w:r>
    </w:p>
    <w:p>
      <w:r>
        <w:t xml:space="preserve">(2) Das Gericht des Mitgliedstaats kann das Verfahren jederzeit fortsetzen, wenn</w:t>
      </w:r>
    </w:p>
    <w:p>
      <w:r>
        <w:t xml:space="preserve">a) das Gericht des Mitgliedstaats es für wahrscheinlich hält, dass die Gefahr widersprechender Entscheidungen nicht mehr besteht,</w:t>
      </w:r>
    </w:p>
    <w:p>
      <w:r>
        <w:t xml:space="preserve">b) das Verfahren vor dem Gericht des Drittstaats ebenfalls ausgesetzt oder eingestellt wurde,</w:t>
      </w:r>
    </w:p>
    <w:p>
      <w:r>
        <w:t xml:space="preserve">c) das Gericht des Mitgliedstaats es für unwahrscheinlich hält, dass das vor dem Gericht des Drittstaats anhängige Verfahren innerhalb einer angemessenen Frist abgeschlossen wird, oder</w:t>
      </w:r>
    </w:p>
    <w:p>
      <w:r>
        <w:t xml:space="preserve">d) die Fortsetzung des Verfahrens im Interesse einer geordneten Rechtspflege erforderlich ist.</w:t>
      </w:r>
    </w:p>
    <w:p>
      <w:r>
        <w:t xml:space="preserve">(3) Das Gericht des Mitgliedstaats kann das Verfahren einstellen, wenn das vor dem Gericht des Drittstaats anhängige Verfahren abgeschlossen ist und eine Entscheidung ergangen ist, die in diesem Mitgliedstaat anerkannt und gegebenenfalls vollstreckt werden kann.</w:t>
      </w:r>
    </w:p>
    <w:p>
      <w:r>
        <w:t xml:space="preserve">(4) Das Gericht des Mitgliedstaats wendet diesen Artikel auf Antrag einer der Parteien oder, wenn dies nach einzelstaatlichem Recht möglich ist, von Amts wegen an.</w:t>
      </w:r>
    </w:p>
    <w:p>
      <w:r>
        <w:rPr>
          <w:color w:val="555555"/>
          <w:sz w:val="17"/>
        </w:rPr>
        <w:t xml:space="preserve">Zitiervorschlag: Art 34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https://recht.nulegal.eu/gesetze/EuGVVO/34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