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32 EuGVVO</w:t>
      </w:r>
    </w:p>
    <w:p>
      <w:r>
        <w:rPr>
          <w:color w:val="555555"/>
          <w:sz w:val="18"/>
        </w:rPr>
        <w:t xml:space="preserve">EuGVVO</w:t>
      </w:r>
    </w:p>
    <w:p>
      <w:r>
        <w:rPr>
          <w:color w:val="555555"/>
          <w:sz w:val="18"/>
        </w:rPr>
        <w:t xml:space="preserve">Stand: 03.07.2026 (konsolidierte Textfassung, kein amtliches Inkrafttretensdatum)</w:t>
      </w:r>
    </w:p>
    <w:p>
      <w:r>
        <w:t xml:space="preserve">(1) Für die Zwecke dieses Abschnitts gilt ein Gericht als angerufen:</w:t>
      </w:r>
    </w:p>
    <w:p>
      <w:r>
        <w:t xml:space="preserve">a) zu dem Zeitpunkt, zu dem das verfahrenseinleitende Schriftstück oder ein gleichwertiges Schriftstück bei Gericht eingereicht worden ist, vorausgesetzt, dass der Kläger es in der Folge nicht versäumt hat, die ihm obliegenden Maßnahmen zu treffen, um die Zustellung des Schriftstücks an den Beklagten zu bewirken, oder</w:t>
      </w:r>
    </w:p>
    <w:p>
      <w:r>
        <w:t xml:space="preserve">b) falls die Zustellung an den Beklagten vor Einreichung des Schriftstücks bei Gericht zu bewirken ist, zu dem Zeitpunkt, zu dem die für die Zustellung verantwortliche Stelle das Schriftstück erhalten hat, vorausgesetzt, dass der Kläger es in der Folge nicht versäumt hat, die ihm obliegenden Maßnahmen zu treffen, um das Schriftstück bei Gericht einzureichen.</w:t>
      </w:r>
    </w:p>
    <w:p>
      <w:r>
        <w:t xml:space="preserve">Die für die Zustellung verantwortliche Stelle im Sinne von Buchstabe b ist die Stelle, die die zuzustellenden Schriftstücke zuerst erhält.</w:t>
      </w:r>
    </w:p>
    <w:p>
      <w:r>
        <w:t xml:space="preserve">(2) Das Gericht oder die für die Zustellung verantwortliche Stelle gemäß Absatz 1 vermerkt das Datum der Einreichung des verfahrenseinleitenden Schriftstücks oder gleichwertigen Schriftstücks beziehungsweise das Datum des Eingangs der zuzustellenden Schriftstücke.</w:t>
      </w:r>
    </w:p>
    <w:p>
      <w:r>
        <w:rPr>
          <w:color w:val="555555"/>
          <w:sz w:val="17"/>
        </w:rPr>
        <w:t xml:space="preserve">Zitiervorschlag: Art 32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https://recht.nulegal.eu/gesetze/EuGVVO/32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