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31 EuGVVO</w:t>
      </w:r>
    </w:p>
    <w:p>
      <w:r>
        <w:rPr>
          <w:color w:val="555555"/>
          <w:sz w:val="18"/>
        </w:rPr>
        <w:t xml:space="preserve">EuGVVO</w:t>
      </w:r>
    </w:p>
    <w:p>
      <w:r>
        <w:rPr>
          <w:color w:val="555555"/>
          <w:sz w:val="18"/>
        </w:rPr>
        <w:t xml:space="preserve">Stand: 03.07.2026 (konsolidierte Textfassung, kein amtliches Inkrafttretensdatum)</w:t>
      </w:r>
    </w:p>
    <w:p>
      <w:r>
        <w:t xml:space="preserve">(1) Ist für die Verfahren die ausschließliche Zuständigkeit mehrerer Gerichte gegeben, so hat sich das zuletzt angerufene Gericht zugunsten des zuerst angerufenen Gerichts für unzuständig zu erklären.</w:t>
      </w:r>
    </w:p>
    <w:p>
      <w:r>
        <w:t xml:space="preserve">(2) Wird ein Gericht eines Mitgliedstaats angerufen, das gemäß einer Vereinbarung nach Artikel 25 ausschließlich zuständig ist, so setzt das Gericht des anderen Mitgliedstaats unbeschadet des Artikels 26 das Verfahren so lange aus, bis das auf der Grundlage der Vereinbarung angerufene Gericht erklärt hat, dass es gemäß der Vereinbarung nicht zuständig ist.</w:t>
      </w:r>
    </w:p>
    <w:p>
      <w:r>
        <w:t xml:space="preserve">(3) Sobald das in der Vereinbarung bezeichnete Gericht die Zuständigkeit gemäß der Vereinbarung festgestellt hat, erklären sich die Gerichte des anderen Mitgliedstaats zugunsten dieses Gerichts für unzuständig.</w:t>
      </w:r>
    </w:p>
    <w:p>
      <w:r>
        <w:t xml:space="preserve">(4) Die Absätze 2 und 3 gelten nicht für Streitigkeiten, die in den Abschnitten 3, 4 oder 5 genannt werden, wenn der Kläger Versicherungsnehmer, Versicherter, Begünstigter des Versicherungsvertrags, Geschädigter, Verbraucher oder Arbeitnehmer ist und die Vereinbarung nach einer in den genannten Abschnitten enthaltenen Bestimmung nicht gültig ist.</w:t>
      </w:r>
    </w:p>
    <w:p>
      <w:r>
        <w:rPr>
          <w:color w:val="555555"/>
          <w:sz w:val="17"/>
        </w:rPr>
        <w:t xml:space="preserve">Zitiervorschlag: Art 31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https://recht.nulegal.eu/gesetze/EuGVVO/31</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