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 EuGVVO</w:t>
      </w:r>
    </w:p>
    <w:p>
      <w:r>
        <w:rPr>
          <w:color w:val="555555"/>
          <w:sz w:val="18"/>
        </w:rPr>
        <w:t xml:space="preserve">EuGVVO</w:t>
      </w:r>
    </w:p>
    <w:p>
      <w:r>
        <w:rPr>
          <w:color w:val="555555"/>
          <w:sz w:val="18"/>
        </w:rPr>
        <w:t xml:space="preserve">Stand: 03.07.2026 (konsolidierte Textfassung, kein amtliches Inkrafttretensdatum)</w:t>
      </w:r>
    </w:p>
    <w:p>
      <w:r>
        <w:t xml:space="preserve">(1) Sind bei Gerichten verschiedener Mitgliedstaaten Verfahren, die im Zusammenhang stehen, anhängig, so kann jedes später angerufene Gericht das Verfahren aussetzen.</w:t>
      </w:r>
    </w:p>
    <w:p>
      <w:r>
        <w:t xml:space="preserve">(2) Ist das beim zuerst angerufenen Gericht anhängige Verfahren in erster Instanz anhängig, so kann sich jedes später angerufene Gericht auf Antrag einer Partei auch für unzuständig erklären, wenn das zuerst angerufene Gericht für die betreffenden Verfahren zuständig ist und die Verbindung der Verfahren nach seinem Recht zulässig ist.</w:t>
      </w:r>
    </w:p>
    <w:p>
      <w:r>
        <w:t xml:space="preserve">(3) Verfahren stehen im Sinne dieses Artikels im Zusammenhang, wenn zwischen ihnen eine so enge Beziehung gegeben ist, dass eine gemeinsame Verhandlung und Entscheidung geboten erscheint, um zu vermeiden, dass in getrennten Verfahren widersprechende Entscheidungen ergehen könnten.</w:t>
      </w:r>
    </w:p>
    <w:p>
      <w:r>
        <w:rPr>
          <w:color w:val="555555"/>
          <w:sz w:val="17"/>
        </w:rPr>
        <w:t xml:space="preserve">Zitiervorschlag: Art 30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