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EuGVVO</w:t>
      </w:r>
    </w:p>
    <w:p>
      <w:r>
        <w:rPr>
          <w:color w:val="555555"/>
          <w:sz w:val="18"/>
        </w:rPr>
        <w:t xml:space="preserve">EuGVVO</w:t>
      </w:r>
    </w:p>
    <w:p>
      <w:r>
        <w:rPr>
          <w:color w:val="555555"/>
          <w:sz w:val="18"/>
        </w:rPr>
        <w:t xml:space="preserve">Stand: 03.07.2026 (konsolidierte Textfassung, kein amtliches Inkrafttretensdatum)</w:t>
      </w:r>
    </w:p>
    <w:p>
      <w:r>
        <w:t xml:space="preserve">Für die Zwecke dieser Verordnung umfasst der Begriff „Gericht“ die folgenden Behörden, soweit und sofern sie für eine in den Anwendungsbereich dieser Verordnung fallende Angelegenheit zuständig sind:</w:t>
      </w:r>
    </w:p>
    <w:p>
      <w:r>
        <w:t xml:space="preserve">a) in Ungarn, bei summarischen Mahnverfahren (fizetési meghagyásos eljárás), den Notar (közjegyző),</w:t>
      </w:r>
    </w:p>
    <w:p>
      <w:r>
        <w:t xml:space="preserve">b) in Schweden, bei summarischen Mahnverfahren (betalningsföreläggande) und Beistandsverfahren (handräckning), das Amt für Beitreibung (Kronofogdemyndigheten).</w:t>
      </w:r>
    </w:p>
    <w:p>
      <w:r>
        <w:rPr>
          <w:color w:val="555555"/>
          <w:sz w:val="17"/>
        </w:rPr>
        <w:t xml:space="preserve">Zitiervorschlag: Art 3 EuGVVO</w:t>
      </w:r>
    </w:p>
    <w:p>
      <w:r>
        <w:rPr>
          <w:color w:val="555555"/>
          <w:sz w:val="17"/>
        </w:rPr>
        <w:t xml:space="preserve">Quelle: EUR-Lex, abgerufen 03.07.2026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https://recht.nulegal.eu/gesetze/EuGVVO/3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