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29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Werden bei Gerichten verschiedener Mitgliedstaaten Klagen wegen desselben Anspruchs zwischen denselben Parteien anhängig gemacht, so setzt das später angerufene Gericht unbeschadet des Artikels 31 Absatz 2 das Verfahren von Amts wegen aus, bis die Zuständigkeit des zuerst angerufenen Gerichts feststeht.</w:t>
      </w:r>
    </w:p>
    <w:p>
      <w:r>
        <w:t xml:space="preserve">(2) In den in Absatz 1 genannten Fällen teilt das angerufene Gericht auf Antrag eines anderen angerufenen Gerichts diesem unverzüglich mit, wann es gemäß Artikel 32 angerufen wurde.</w:t>
      </w:r>
    </w:p>
    <w:p>
      <w:r>
        <w:t xml:space="preserve">(3) Sobald die Zuständigkeit des zuerst angerufenen Gerichts feststeht, erklärt sich das später angerufene Gericht zugunsten dieses Gerichts für unzuständig.</w:t>
      </w:r>
    </w:p>
    <w:p>
      <w:r>
        <w:rPr>
          <w:color w:val="555555"/>
          <w:sz w:val="17"/>
        </w:rPr>
        <w:t xml:space="preserve">Zitiervorschlag: Art 29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