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26 EuGVVO</w:t>
      </w:r>
    </w:p>
    <w:p>
      <w:r>
        <w:rPr>
          <w:color w:val="555555"/>
          <w:sz w:val="18"/>
        </w:rPr>
        <w:t xml:space="preserve">EuGVVO</w:t>
      </w:r>
    </w:p>
    <w:p>
      <w:r>
        <w:rPr>
          <w:color w:val="555555"/>
          <w:sz w:val="18"/>
        </w:rPr>
        <w:t xml:space="preserve">Stand: 03.07.2026 (konsolidierte Textfassung, kein amtliches Inkrafttretensdatum)</w:t>
      </w:r>
    </w:p>
    <w:p>
      <w:r>
        <w:t xml:space="preserve">(1) Sofern das Gericht eines Mitgliedstaats nicht bereits nach anderen Vorschriften dieser Verordnung zuständig ist, wird es zuständig, wenn sich der Beklagte vor ihm auf das Verfahren einlässt. Dies gilt nicht, wenn der Beklagte sich einlässt, um den Mangel der Zuständigkeit geltend zu machen oder wenn ein anderes Gericht aufgrund des Artikels 24 ausschließlich zuständig ist.</w:t>
      </w:r>
    </w:p>
    <w:p>
      <w:r>
        <w:t xml:space="preserve">(2) In Streitigkeiten nach den Abschnitten 3, 4 oder 5, in denen der Beklagte Versicherungsnehmer, Versicherter, Begünstigter eines Versicherungsvertrags, Geschädigter, Verbraucher oder Arbeitnehmer ist, stellt das Gericht, bevor es sich nach Absatz 1 für zuständig erklärt, sicher, dass der Beklagte über sein Recht, die Unzuständigkeit des Gerichts geltend zu machen, und über die Folgen der Einlassung oder Nichteinlassung auf das Verfahren belehrt wird.</w:t>
      </w:r>
    </w:p>
    <w:p>
      <w:r>
        <w:rPr>
          <w:color w:val="555555"/>
          <w:sz w:val="17"/>
        </w:rPr>
        <w:t xml:space="preserve">Zitiervorschlag: Art 26 EuGVVO</w:t>
      </w:r>
    </w:p>
    <w:p>
      <w:r>
        <w:rPr>
          <w:color w:val="555555"/>
          <w:sz w:val="17"/>
        </w:rPr>
        <w:t xml:space="preserve">Quelle: EUR-Lex, abgerufen 03.07.2026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https://recht.nulegal.eu/gesetze/EuGVVO/26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