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 EuGVVO</w:t>
      </w:r>
    </w:p>
    <w:p>
      <w:r>
        <w:rPr>
          <w:color w:val="555555"/>
          <w:sz w:val="18"/>
        </w:rPr>
        <w:t xml:space="preserve">EuGVVO</w:t>
      </w:r>
    </w:p>
    <w:p>
      <w:r>
        <w:rPr>
          <w:color w:val="555555"/>
          <w:sz w:val="18"/>
        </w:rPr>
        <w:t xml:space="preserve">Stand: 03.07.2026 (konsolidierte Textfassung, kein amtliches Inkrafttretensdatum)</w:t>
      </w:r>
    </w:p>
    <w:p>
      <w:r>
        <w:t xml:space="preserve">►C1 (1) Haben die Parteien unabhängig von ihrem Wohnsitz vereinbart, dass ein Gericht oder die Gerichte eines Mitgliedstaats über eine bereits entstandene Rechtsstreitigkeit oder über eine künftige aus einem bestimmten Rechtsverhältnis entspringende Rechtsstreitigkeit entscheiden sollen, so sind dieses Gericht oder die Gerichte dieses Mitgliedstaats zuständig, es sei denn, die Vereinbarung ist nach dem Recht dieses Mitgliedstaats materiell ungültig. ◄ Dieses Gericht oder die Gerichte dieses Mitgliedstaats sind ausschließlich zuständig, sofern die Parteien nichts anderes vereinbart haben. Die Gerichtsstandsvereinbarung muss geschlossen werden:</w:t>
      </w:r>
    </w:p>
    <w:p>
      <w:r>
        <w:t xml:space="preserve">a) schriftlich oder mündlich mit schriftlicher Bestätigung,</w:t>
      </w:r>
    </w:p>
    <w:p>
      <w:r>
        <w:t xml:space="preserve">b) in einer Form, welche den Gepflogenheiten entspricht, die zwischen den Parteien entstanden sind, oder</w:t>
      </w:r>
    </w:p>
    <w:p>
      <w:r>
        <w:t xml:space="preserve">c) im internationalen Handel in einer Form, die einem Handelsbrauch entspricht, den die Parteien kannten oder kennen mussten und den Parteien von Verträgen dieser Art in dem betreffenden Geschäftszweig allgemein kennen und regelmäßig beachten.</w:t>
      </w:r>
    </w:p>
    <w:p>
      <w:r>
        <w:t xml:space="preserve">(2) Elektronische Übermittlungen, die eine dauerhafte Aufzeichnung der Vereinbarung ermöglichen, sind der Schriftform gleichgestellt.</w:t>
      </w:r>
    </w:p>
    <w:p>
      <w:r>
        <w:t xml:space="preserve">(3) Ist in schriftlich niedergelegten Trust-Bedingungen bestimmt, dass über Klagen gegen einen Begründer, Trustee oder Begünstigten eines Trust ein Gericht oder die Gerichte eines Mitgliedstaats entscheiden sollen, so ist dieses Gericht oder sind diese Gerichte ausschließlich zuständig, wenn es sich um Beziehungen zwischen diesen Personen oder ihre Rechte oder Pflichten im Rahmen des Trust handelt.</w:t>
      </w:r>
    </w:p>
    <w:p>
      <w:r>
        <w:t xml:space="preserve">(4) Gerichtsstandsvereinbarungen und entsprechende Bestimmungen in Trust-Bedingungen haben keine rechtliche Wirkung, wenn sie den Vorschriften der Artikel 15, 19 oder 23 zuwiderlaufen oder wenn die Gerichte, deren Zuständigkeit abbedungen wird, aufgrund des Artikels 24 ausschließlich zuständig sind.</w:t>
      </w:r>
    </w:p>
    <w:p>
      <w:r>
        <w:t xml:space="preserve">(5) Eine Gerichtsstandsvereinbarung, die Teil eines Vertrags ist, ist als eine von den übrigen Vertragsbestimmungen unabhängige Vereinbarung zu behandeln.</w:t>
      </w:r>
    </w:p>
    <w:p>
      <w:r>
        <w:t xml:space="preserve">Die Gültigkeit der Gerichtsstandsvereinbarung kann nicht allein mit der Begründung in Frage gestellt werden, dass der Vertrag nicht gültig ist.</w:t>
      </w:r>
    </w:p>
    <w:p>
      <w:r>
        <w:rPr>
          <w:color w:val="555555"/>
          <w:sz w:val="17"/>
        </w:rPr>
        <w:t xml:space="preserve">Zitiervorschlag: Art 25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