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EuGVVO</w:t>
      </w:r>
    </w:p>
    <w:p>
      <w:r>
        <w:rPr>
          <w:color w:val="555555"/>
          <w:sz w:val="18"/>
        </w:rPr>
        <w:t xml:space="preserve">EuGVVO</w:t>
      </w:r>
    </w:p>
    <w:p>
      <w:r>
        <w:rPr>
          <w:color w:val="555555"/>
          <w:sz w:val="18"/>
        </w:rPr>
        <w:t xml:space="preserve">Stand: 03.07.2026 (konsolidierte Textfassung, kein amtliches Inkrafttretensdatum)</w:t>
      </w:r>
    </w:p>
    <w:p>
      <w:r>
        <w:t xml:space="preserve">Ohne Rücksicht auf den Wohnsitz der Parteien sind folgende Gerichte eines Mitgliedstaats ausschließlich zuständig:</w:t>
      </w:r>
    </w:p>
    <w:p>
      <w:r>
        <w:t xml:space="preserve">1. für Verfahren, welche dingliche Rechte an unbeweglichen Sachen sowie die Miete oder Pacht von unbeweglichen Sachen zum Gegenstand haben, die Gerichte des Mitgliedstaats, in dem die unbewegliche Sache belegen ist. Jedoch sind für Verfahren betreffend die Miete oder Pacht unbeweglicher Sachen zum vorübergehenden privaten Gebrauch für höchstens sechs aufeinander folgende Monate auch die Gerichte des Mitgliedstaats zuständig, in dem der Beklagte seinen Wohnsitz hat, sofern es sich bei dem Mieter oder Pächter um eine natürliche Person handelt und der Eigentümer sowie der Mieter oder Pächter ihren Wohnsitz in demselben Mitgliedstaat haben;</w:t>
      </w:r>
    </w:p>
    <w:p>
      <w:r>
        <w:t xml:space="preserve">2. für Verfahren, welche die Gültigkeit, die Nichtigkeit oder die Auflösung einer Gesellschaft oder juristischen Person oder die Gültigkeit der Beschlüsse ihrer Organe zum Gegenstand haben, die Gerichte des Mitgliedstaats, in dessen Hoheitsgebiet die Gesellschaft oder juristische Person ihren Sitz hat. Bei der Entscheidung darüber, wo der Sitz sich befindet, wendet das Gericht die Vorschriften seines Internationalen Privatrechts an;</w:t>
      </w:r>
    </w:p>
    <w:p>
      <w:r>
        <w:t xml:space="preserve">3. für Verfahren, welche die Gültigkeit von Eintragungen in öffentliche Register zum Gegenstand haben, die Gerichte des Mitgliedstaats, in dessen Hoheitsgebiet die Register geführt werden;</w:t>
      </w:r>
    </w:p>
    <w:p>
      <w:r>
        <w:t xml:space="preserve">4. für Verfahren, welche die Eintragung oder die Gültigkeit von Patenten, Marken, Mustern und Modellen sowie ähnlicher Rechte, die einer Hinterlegung oder Registrierung bedürfen, zum Gegenstand haben, unabhängig davon, ob die Frage im Wege der Klage oder der Einrede aufgeworfen wird, die Gerichte des Mitgliedstaats, in dessen Hoheitsgebiet die Hinterlegung oder Registrierung beantragt oder vorgenommen worden ist oder aufgrund eines Unionsrechtsakts oder eines zwischenstaatlichen Übereinkommens als vorgenommen gilt. Unbeschadet der Zuständigkeit des Europäischen Patentamts nach dem am 5. Oktober 1973 in München unterzeichneten Übereinkommen über die Erteilung europäischer Patente sind die Gerichte eines jeden Mitgliedstaats für alle Verfahren ausschließlich zuständig, welche die Erteilung oder die Gültigkeit eines europäischen Patents zum Gegenstand haben, das für diesen Mitgliedstaat erteilt wurde;</w:t>
      </w:r>
    </w:p>
    <w:p>
      <w:r>
        <w:t xml:space="preserve">5. für Verfahren, welche die Zwangsvollstreckung aus Entscheidungen zum Gegenstand haben, die Gerichte des Mitgliedstaats, in dessen Hoheitsgebiet die Zwangsvollstreckung durchgeführt werden soll oder durchgeführt worden ist.</w:t>
      </w:r>
    </w:p>
    <w:p>
      <w:r>
        <w:rPr>
          <w:color w:val="555555"/>
          <w:sz w:val="17"/>
        </w:rPr>
        <w:t xml:space="preserve">Zitiervorschlag: Art 24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