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23 EuGVVO</w:t>
      </w:r>
    </w:p>
    <w:p>
      <w:r>
        <w:rPr>
          <w:color w:val="555555"/>
          <w:sz w:val="18"/>
        </w:rPr>
        <w:t xml:space="preserve">EuGVVO</w:t>
      </w:r>
    </w:p>
    <w:p>
      <w:r>
        <w:rPr>
          <w:color w:val="555555"/>
          <w:sz w:val="18"/>
        </w:rPr>
        <w:t xml:space="preserve">Stand: 03.07.2026 (konsolidierte Textfassung, kein amtliches Inkrafttretensdatum)</w:t>
      </w:r>
    </w:p>
    <w:p>
      <w:r>
        <w:t xml:space="preserve">Von den Vorschriften dieses Abschnitts kann im Wege der Vereinbarung nur abgewichen werden,</w:t>
      </w:r>
    </w:p>
    <w:p>
      <w:r>
        <w:t xml:space="preserve">1. wenn die Vereinbarung nach der Entstehung der Streitigkeit getroffen wird oder</w:t>
      </w:r>
    </w:p>
    <w:p>
      <w:r>
        <w:t xml:space="preserve">2. wenn sie dem Arbeitnehmer die Befugnis einräumt, andere als die in diesem Abschnitt angeführten Gerichte anzurufen.</w:t>
      </w:r>
    </w:p>
    <w:p>
      <w:r>
        <w:rPr>
          <w:color w:val="555555"/>
          <w:sz w:val="17"/>
        </w:rPr>
        <w:t xml:space="preserve">Zitiervorschlag: Art 23 EuGVVO</w:t>
      </w:r>
    </w:p>
    <w:p>
      <w:r>
        <w:rPr>
          <w:color w:val="555555"/>
          <w:sz w:val="17"/>
        </w:rPr>
        <w:t xml:space="preserve">Quelle: EUR-Lex, abgerufen 03.07.2026</w:t>
      </w:r>
    </w:p>
    <w:p>
      <w:r>
        <w:rPr>
          <w:color w:val="555555"/>
          <w:sz w:val="17"/>
        </w:rPr>
        <w:t xml:space="preserve">Nicht-amtliche konsolidierte Fassung — verbindlich ist der im Amtsblatt der Europäischen Union veröffentlichte Wortlaut (eur-lex.europa.eu: https://eur-lex.europa.eu)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https://recht.nulegal.eu/gesetze/EuGVVO/23</w:t>
      </w:r>
    </w:p>
    <w:p>
      <w:r>
        <w:rPr>
          <w:color w:val="767676"/>
          <w:sz w:val="15"/>
        </w:rPr>
        <w:t xml:space="preserve">nu:legal · recht.nulegal.eu · Nicht-amtliche Lesefassung. Amtliche Fassung: eur-lex.europa.eu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