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20 EuGVVO</w:t>
      </w:r>
    </w:p>
    <w:p>
      <w:r>
        <w:rPr>
          <w:color w:val="555555"/>
          <w:sz w:val="18"/>
        </w:rPr>
        <w:t xml:space="preserve">EuGVVO</w:t>
      </w:r>
    </w:p>
    <w:p>
      <w:r>
        <w:rPr>
          <w:color w:val="555555"/>
          <w:sz w:val="18"/>
        </w:rPr>
        <w:t xml:space="preserve">Stand: 03.07.2026 (konsolidierte Textfassung, kein amtliches Inkrafttretensdatum)</w:t>
      </w:r>
    </w:p>
    <w:p>
      <w:r>
        <w:t xml:space="preserve">(1) Bilden ein individueller Arbeitsvertrag oder Ansprüche aus einem individuellen Arbeitsvertrag den Gegenstand des Verfahrens, so bestimmt sich die Zuständigkeit unbeschadet des Artikels 6, des Artikels 7 Nummer 5 und, wenn die Klage gegen den Arbeitgeber erhoben wurde, des Artikels 8 Nummer 1 nach diesem Abschnitt.</w:t>
      </w:r>
    </w:p>
    <w:p>
      <w:r>
        <w:t xml:space="preserve">(2) Hat der Arbeitgeber, mit dem der Arbeitnehmer einen individuellen Arbeitsvertrag geschlossen hat, im Hoheitsgebiet eines Mitgliedstaats keinen Wohnsitz, besitzt er aber in einem Mitgliedstaat eine Zweigniederlassung, Agentur oder sonstige Niederlassung, so wird er für Streitigkeiten aus ihrem Betrieb so behandelt, wie wenn er seinen Wohnsitz im Hoheitsgebiet dieses Mitgliedstaats hätte.</w:t>
      </w:r>
    </w:p>
    <w:p>
      <w:r>
        <w:rPr>
          <w:color w:val="555555"/>
          <w:sz w:val="17"/>
        </w:rPr>
        <w:t xml:space="preserve">Zitiervorschlag: Art 20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https://recht.nulegal.eu/gesetze/EuGVVO/20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