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EuGVVO</w:t>
      </w:r>
    </w:p>
    <w:p>
      <w:r>
        <w:rPr>
          <w:color w:val="555555"/>
          <w:sz w:val="18"/>
        </w:rPr>
        <w:t xml:space="preserve">EuGVVO</w:t>
      </w:r>
    </w:p>
    <w:p>
      <w:r>
        <w:rPr>
          <w:color w:val="555555"/>
          <w:sz w:val="18"/>
        </w:rPr>
        <w:t xml:space="preserve">Stand: 03.07.2026 (konsolidierte Textfassung, kein amtliches Inkrafttretensdatum)</w:t>
      </w:r>
    </w:p>
    <w:p>
      <w:r>
        <w:t xml:space="preserve">Für die Zwecke dieser Verordnung bezeichnet der Ausdruck</w:t>
      </w:r>
    </w:p>
    <w:p>
      <w:r>
        <w:t xml:space="preserve">a) „Entscheidung“ jede von einem Gericht eines Mitgliedstaats erlassene Entscheidung ohne Rücksicht auf ihre Bezeichnung wie Urteil, Beschluss, Zahlungsbefehl oder Vollstreckungsbescheid, einschließlich des Kostenfestsetzungsbeschlusses eines Gerichtsbediensteten. Für die Zwecke von Kapitel III umfasst der Ausdruck „Entscheidung“ auch einstweilige Maßnahmen einschließlich Sicherungsmaßnahmen, die von einem nach dieser Verordnung in der Hauptsache zuständigen Gericht angeordnet wurden. Hierzu gehören keine einstweiligen Maßnahmen einschließlich Sicherungsmaßnahmen, die von einem solchen Gericht angeordnet wurden, ohne dass der Beklagte vorgeladen wurde, es sei denn, die Entscheidung, welche die Maßnahme enthält, wird ihm vor der Vollstreckung zugestellt;</w:t>
      </w:r>
    </w:p>
    <w:p>
      <w:r>
        <w:t xml:space="preserve">b) „gerichtlicher Vergleich“ einen Vergleich, der von einem Gericht eines Mitgliedstaats gebilligt oder vor einem Gericht eines Mitgliedstaats im Laufe eines Verfahrens geschlossen worden ist;</w:t>
      </w:r>
    </w:p>
    <w:p>
      <w:r>
        <w:t xml:space="preserve">c) „öffentliche Urkunde“ ein Schriftstück, das als öffentliche Urkunde im Ursprungsmitgliedstaat förmlich errichtet oder eingetragen worden ist und dessen Beweiskraft i) sich auf die Unterschrift und den Inhalt der öffentlichen Urkunde bezieht und ii) durch eine Behörde oder eine andere hierzu ermächtigte Stelle festgestellt worden ist;</w:t>
      </w:r>
    </w:p>
    <w:p>
      <w:r>
        <w:t xml:space="preserve">d) „Ursprungsmitgliedstaat“ den Mitgliedstaat, in dem die Entscheidung ergangen, der gerichtliche Vergleich gebilligt oder geschlossen oder die öffentliche Urkunde förmlich errichtet oder eingetragen worden ist;</w:t>
      </w:r>
    </w:p>
    <w:p>
      <w:r>
        <w:t xml:space="preserve">e) „ersuchter Mitgliedstaat“ den Mitgliedstaat, in dem die Anerkennung der Entscheidung geltend gemacht oder die Vollstreckung der Entscheidung, des gerichtlichen Vergleichs oder der öffentlichen Urkunde beantragt wird;</w:t>
      </w:r>
    </w:p>
    <w:p>
      <w:r>
        <w:t xml:space="preserve">f) „Ursprungsgericht“ das Gericht, das die Entscheidung erlassen hat, deren Anerkennung geltend gemacht oder deren Vollstreckung beantragt wird.</w:t>
      </w:r>
    </w:p>
    <w:p>
      <w:r>
        <w:rPr>
          <w:color w:val="555555"/>
          <w:sz w:val="17"/>
        </w:rPr>
        <w:t xml:space="preserve">Zitiervorschlag: Art 2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