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EuGVVO</w:t>
      </w:r>
    </w:p>
    <w:p>
      <w:r>
        <w:rPr>
          <w:color w:val="555555"/>
          <w:sz w:val="18"/>
        </w:rPr>
        <w:t xml:space="preserve">EuGVVO</w:t>
      </w:r>
    </w:p>
    <w:p>
      <w:r>
        <w:rPr>
          <w:color w:val="555555"/>
          <w:sz w:val="18"/>
        </w:rPr>
        <w:t xml:space="preserve">Stand: 03.07.2026 (konsolidierte Textfassung, kein amtliches Inkrafttretensdatum)</w:t>
      </w:r>
    </w:p>
    <w:p>
      <w:r>
        <w:t xml:space="preserve">(1) Die Klage eines Verbrauchers gegen den anderen Vertragspartner kann entweder vor den Gerichten des Mitgliedstaats erhoben werden, in dessen Hoheitsgebiet dieser Vertragspartner seinen Wohnsitz hat, oder ohne Rücksicht auf den Wohnsitz des anderen Vertragspartners vor dem Gericht des Ortes, an dem der Verbraucher seinen Wohnsitz hat.</w:t>
      </w:r>
    </w:p>
    <w:p>
      <w:r>
        <w:t xml:space="preserve">(2) Die Klage des anderen Vertragspartners gegen den Verbraucher kann nur vor den Gerichten des Mitgliedstaats erhoben werden, in dessen Hoheitsgebiet der Verbraucher seinen Wohnsitz hat.</w:t>
      </w:r>
    </w:p>
    <w:p>
      <w:r>
        <w:t xml:space="preserve">(3) Die Vorschriften dieses Artikels lassen das Recht unberührt, eine Widerklage vor dem Gericht zu erheben, bei dem die Klage selbst gemäß den Bestimmungen dieses Abschnitts anhängig ist.</w:t>
      </w:r>
    </w:p>
    <w:p>
      <w:r>
        <w:rPr>
          <w:color w:val="555555"/>
          <w:sz w:val="17"/>
        </w:rPr>
        <w:t xml:space="preserve">Zitiervorschlag: Art 18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https://recht.nulegal.eu/gesetze/EuGVVO/18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