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16 EuGVVO</w:t>
      </w:r>
    </w:p>
    <w:p>
      <w:r>
        <w:rPr>
          <w:color w:val="555555"/>
          <w:sz w:val="18"/>
        </w:rPr>
        <w:t xml:space="preserve">EuGVVO</w:t>
      </w:r>
    </w:p>
    <w:p>
      <w:r>
        <w:rPr>
          <w:color w:val="555555"/>
          <w:sz w:val="18"/>
        </w:rPr>
        <w:t xml:space="preserve">Stand: 03.07.2026 (konsolidierte Textfassung, kein amtliches Inkrafttretensdatum)</w:t>
      </w:r>
    </w:p>
    <w:p>
      <w:r>
        <w:t xml:space="preserve">Die in Artikel 15 Nummer 5 erwähnten Risiken sind die folgenden:</w:t>
      </w:r>
    </w:p>
    <w:p>
      <w:r>
        <w:t xml:space="preserve">1. sämtliche Schäden a) an Seeschiffen, Anlagen vor der Küste und auf hoher See oder Luftfahrzeugen aus Gefahren, die mit ihrer Verwendung zu gewerblichen Zwecken verbunden sind, b) an Transportgütern, ausgenommen Reisegepäck der Passagiere, wenn diese Güter ausschließlich oder zum Teil mit diesen Schiffen oder Luftfahrzeugen befördert werden;</w:t>
      </w:r>
    </w:p>
    <w:p>
      <w:r>
        <w:t xml:space="preserve">2. Haftpflicht aller Art mit Ausnahme der Haftung für Personenschäden an Passagieren oder Schäden an deren Reisegepäck, a) aus der Verwendung oder dem Betrieb von Seeschiffen, Anlagen oder Luftfahrzeugen gemäß Nummer 1 Buchstabe a, es sei denn, dass — was die letztgenannten betrifft — nach den Rechtsvorschriften des Mitgliedstaats, in dem das Luftfahrzeug eingetragen ist, Gerichtsstandsvereinbarungen für die Versicherung solcher Risiken untersagt sind, b) für Schäden, die durch Transportgüter während einer Beförderung im Sinne von Nummer 1 Buchstabe b verursacht werden;</w:t>
      </w:r>
    </w:p>
    <w:p>
      <w:r>
        <w:t xml:space="preserve">3. finanzielle Verluste im Zusammenhang mit der Verwendung oder dem Betrieb von Seeschiffen, Anlagen oder Luftfahrzeugen gemäß Nummer 1 Buchstabe a, insbesondere Fracht- oder Charterverlust;</w:t>
      </w:r>
    </w:p>
    <w:p>
      <w:r>
        <w:t xml:space="preserve">4. irgendein zusätzliches Risiko, das mit einem der unter den Nummern 1 bis 3 genannten Risiken in Zusammenhang steht;</w:t>
      </w:r>
    </w:p>
    <w:p>
      <w:r>
        <w:t xml:space="preserve">5. unbeschadet der Nummern 1 bis 4 alle „Großrisiken“ entsprechend der Begriffsbestimmung in der Richtlinie 2009/138/EG des Europäischen Parlaments und des Rates vom 25. November 2009 betreffend die Aufnahme und Ausübung der Versicherungs- und der Rückversicherungstätigkeit (Solvabilität II) ( 1 ).</w:t>
      </w:r>
    </w:p>
    <w:p>
      <w:r>
        <w:rPr>
          <w:color w:val="555555"/>
          <w:sz w:val="17"/>
        </w:rPr>
        <w:t xml:space="preserve">Zitiervorschlag: Art 16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