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14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Vorbehaltlich der Bestimmungen des Artikels 13 Absatz 3 kann der Versicherer nur vor den Gerichten des Mitgliedstaats klagen, in dessen Hoheitsgebiet der Beklagte seinen Wohnsitz hat, ohne Rücksicht darauf, ob dieser Versicherungsnehmer, Versicherter oder Begünstigter ist.</w:t>
      </w:r>
    </w:p>
    <w:p>
      <w:r>
        <w:t xml:space="preserve">(2) Die Vorschriften dieses Abschnitts lassen das Recht unberührt, eine Widerklage vor dem Gericht zu erheben, bei dem die Klage selbst gemäß den Bestimmungen dieses Abschnitts anhängig ist.</w:t>
      </w:r>
    </w:p>
    <w:p>
      <w:r>
        <w:rPr>
          <w:color w:val="555555"/>
          <w:sz w:val="17"/>
        </w:rPr>
        <w:t xml:space="preserve">Zitiervorschlag: Art 14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eur-lex.europa.eu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14 EuGVVO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