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EuGVVO</w:t>
      </w:r>
    </w:p>
    <w:p>
      <w:r>
        <w:rPr>
          <w:color w:val="555555"/>
          <w:sz w:val="18"/>
        </w:rPr>
        <w:t xml:space="preserve">EuGVVO</w:t>
      </w:r>
    </w:p>
    <w:p>
      <w:r>
        <w:rPr>
          <w:color w:val="555555"/>
          <w:sz w:val="18"/>
        </w:rPr>
        <w:t xml:space="preserve">Stand: 03.07.2026 (konsolidierte Textfassung, kein amtliches Inkrafttretensdatum)</w:t>
      </w:r>
    </w:p>
    <w:p>
      <w:r>
        <w:t xml:space="preserve">(1) Ein Versicherer, der seinen Wohnsitz im Hoheitsgebiet eines Mitgliedstaats hat, kann verklagt werden:</w:t>
      </w:r>
    </w:p>
    <w:p>
      <w:r>
        <w:t xml:space="preserve">a) vor den Gerichten des Mitgliedstaats, in dem er seinen Wohnsitz hat,</w:t>
      </w:r>
    </w:p>
    <w:p>
      <w:r>
        <w:t xml:space="preserve">b) in einem anderen Mitgliedstaat bei Klagen des Versicherungsnehmers, des Versicherten oder des Begünstigten vor dem Gericht des Ortes, an dem der Kläger seinen Wohnsitz hat, oder</w:t>
      </w:r>
    </w:p>
    <w:p>
      <w:r>
        <w:t xml:space="preserve">c) falls es sich um einen Mitversicherer handelt, vor dem Gericht eines Mitgliedstaats, bei dem der federführende Versicherer verklagt wird.</w:t>
      </w:r>
    </w:p>
    <w:p>
      <w:r>
        <w:t xml:space="preserve">(2) Hat der Versicherer im Hoheitsgebiet eines Mitgliedstaats keinen Wohnsitz, besitzt er aber in einem Mitgliedstaat eine Zweigniederlassung, Agentur oder sonstige Niederlassung, so wird er für Streitigkeiten aus ihrem Betrieb so behandelt, wie wenn er seinen Wohnsitz im Hoheitsgebiet dieses Mitgliedstaats hätte.</w:t>
      </w:r>
    </w:p>
    <w:p>
      <w:r>
        <w:rPr>
          <w:color w:val="555555"/>
          <w:sz w:val="17"/>
        </w:rPr>
        <w:t xml:space="preserve">Zitiervorschlag: Art 11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https://recht.nulegal.eu/gesetze/EuGVVO/11</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