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EuAbgG — Unvereinbarkeit von Ämtern, Funktionen und Mandaten mit der Mitgliedschaft im Europäischen Parlament</w:t>
      </w:r>
    </w:p>
    <w:p>
      <w:r>
        <w:rPr>
          <w:color w:val="555555"/>
          <w:sz w:val="18"/>
        </w:rPr>
        <w:t xml:space="preserve">Europaabgeordnetengesetz</w:t>
      </w:r>
    </w:p>
    <w:p>
      <w:r>
        <w:rPr>
          <w:color w:val="555555"/>
          <w:sz w:val="18"/>
        </w:rPr>
        <w:t xml:space="preserve">Stand: 10.06.2019 (konsolidierte Textfassung, kein amtliches Inkrafttretensdatum)</w:t>
      </w:r>
    </w:p>
    <w:p>
      <w:r>
        <w:t xml:space="preserve">Die in § 22 Abs. 2 Nr. 7 bis 15 des Europawahlgesetzes aufgeführten Ämter, Funktionen und Mandate sind mit der Mitgliedschaft im Europäischen Parlament unvereinbar. Ihr Inhaber erwirbt die Mitgliedschaft im Europäischen Parlament nach seiner Wahl nur, wenn er spätestens bis zur Eröffnung der ersten Sitzung des Europäischen Parlaments nach der Wahl oder in den Fällen des § 21 Abs. 2 des Europawahlgesetzes bis zur Annahmeerklärung gegenüber dem Bundeswahlleiter aus diesem Amt, dieser Funktion oder diesem Mandat ausscheidet.</w:t>
      </w:r>
    </w:p>
    <w:p>
      <w:r>
        <w:rPr>
          <w:color w:val="555555"/>
          <w:sz w:val="17"/>
        </w:rPr>
        <w:t xml:space="preserve">Zitiervorschlag: § 7 EuAbgG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https://recht.nulegal.eu/gesetze/EuAbgG/7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