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EuAbgG — Zeugnisverweigerungsrecht</w:t>
      </w:r>
    </w:p>
    <w:p>
      <w:r>
        <w:rPr>
          <w:color w:val="555555"/>
          <w:sz w:val="18"/>
        </w:rPr>
        <w:t xml:space="preserve">Europaabgeordnetengesetz</w:t>
      </w:r>
    </w:p>
    <w:p>
      <w:r>
        <w:rPr>
          <w:color w:val="555555"/>
          <w:sz w:val="18"/>
        </w:rPr>
        <w:t xml:space="preserve">Stand: 10.06.2019 (konsolidierte Textfassung, kein amtliches Inkrafttretensdatum)</w:t>
      </w:r>
    </w:p>
    <w:p>
      <w:r>
        <w:t xml:space="preserve">Die Mitglieder des Europäischen Parlaments sind berechtigt, über Personen, die ihnen in ihrer Eigenschaft als Mitglieder oder denen sie in dieser Eigenschaft Tatsachen anvertraut haben, sowie über diese Tatsachen selbst das Zeugnis zu verweigern. Soweit dieses Zeugnisverweigerungsrecht reicht, ist die Beschlagnahme von Schriftstücken unzulässig.</w:t>
      </w:r>
    </w:p>
    <w:p>
      <w:r>
        <w:rPr>
          <w:color w:val="555555"/>
          <w:sz w:val="17"/>
        </w:rPr>
        <w:t xml:space="preserve">Zitiervorschlag: § 6 EuAbgG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https://recht.nulegal.eu/gesetze/EuAbgG/6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