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EuAbgG — Freies Mandat</w:t>
      </w:r>
    </w:p>
    <w:p>
      <w:r>
        <w:rPr>
          <w:color w:val="555555"/>
          <w:sz w:val="18"/>
        </w:rPr>
        <w:t xml:space="preserve">Europaabgeordnetengesetz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Europäischen Parlaments sind an Aufträge und Weisungen nicht gebunden und nur ihrem Gewissen unterworfen.</w:t>
      </w:r>
    </w:p>
    <w:p>
      <w:r>
        <w:rPr>
          <w:color w:val="555555"/>
          <w:sz w:val="17"/>
        </w:rPr>
        <w:t xml:space="preserve">Zitiervorschlag: § 2 EuAbgG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https://recht.nulegal.eu/gesetze/EuAbgG/2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