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EuAbgG — Beginn und Ende der Ansprüche, Zahlungsvorschriften</w:t>
      </w:r>
    </w:p>
    <w:p>
      <w:r>
        <w:rPr>
          <w:color w:val="555555"/>
          <w:sz w:val="18"/>
        </w:rPr>
        <w:t xml:space="preserve">Europaabgeordnetengesetz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den §§ 9 bis 11 geregelten Ansprüche entstehen mit dem Tag der Feststellung des Bundeswahlausschusses (§ 18 Abs. 4 des Europawahlgesetzes) oder der Annahme des Mandats.</w:t>
      </w:r>
    </w:p>
    <w:p>
      <w:r>
        <w:t xml:space="preserve">(2) Die Entschädigung nach § 9 wird monatlich im voraus gezahlt. Ist nur ein Teil zu leisten, so wird für jeden Kalendertag ein Dreißigstel gezahlt.</w:t>
      </w:r>
    </w:p>
    <w:p>
      <w:r>
        <w:t xml:space="preserve">(3) Ausgeschiedene Mitglieder erhalten die Entschädigung nach § 9 bis zum Ende des Monats, in dem sie ausgeschieden sind. Die Rechte nach § 10 erlöschen 14 Tage nach Ausscheiden aus dem Europäischen Parlament.</w:t>
      </w:r>
    </w:p>
    <w:p>
      <w:r>
        <w:t xml:space="preserve">(4) Die Bestimmung des § 31 des Abgeordnetengesetzes findet sinngemäß Anwendung auf Leistungen nach diesem Gesetz.</w:t>
      </w:r>
    </w:p>
    <w:p>
      <w:r>
        <w:rPr>
          <w:color w:val="555555"/>
          <w:sz w:val="17"/>
        </w:rPr>
        <w:t xml:space="preserve">Zitiervorschlag: § 12 EuAbgG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https://recht.nulegal.eu/gesetze/EuAbgG/12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