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10b EuAbgG — Leistungen an ehemalige Mitglieder des Europäischen Parlaments und ihre Hinterbliebenen</w:t>
      </w:r>
    </w:p>
    <w:p>
      <w:r>
        <w:rPr>
          <w:color w:val="555555"/>
          <w:sz w:val="18"/>
        </w:rPr>
        <w:t xml:space="preserve">Europaabgeordnetengesetz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Fünften Abschnitts und § 32 Abs. 4 bis 8, §§ 35, 35a, 35b, 35c, 37 und 38 Abs. 1 des Abgeordnetengesetzes finden auf vor dem Inkrafttreten des Abgeordnetenstatuts des Europäischen Parlaments ausgeschiedene Mitglieder des Europäischen Parlaments sowie auf Mitglieder des Europäischen Parlaments, die sich nach Artikel 25 Abs. 1 des Abgeordnetenstatuts des Europäischen Parlaments für die Anwendung dieses Gesetzes entscheiden, und ihre Hinterbliebenen mit den Maßgaben Anwendung, daß</w:t>
      </w:r>
    </w:p>
    <w:p>
      <w:pPr>
        <w:ind w:left="420"/>
      </w:pPr>
      <w:r>
        <w:t xml:space="preserve">1. in dem Fall, daß Leistungen aus der Unfallversicherung des Europäischen Parlaments in Anspruch genommen werden, der Versorgungsanspruch nach diesem Gesetz bis zur Höhe der Versicherungsleistung ruht,</w:t>
      </w:r>
    </w:p>
    <w:p>
      <w:pPr>
        <w:ind w:left="420"/>
      </w:pPr>
      <w:r>
        <w:t xml:space="preserve">2. die Versorgung solange ruht, bis die Versicherungsleistung aus der Lebensversicherung oder sonstige vergleichbare Leistungen des Europäischen Parlaments erreicht sind,</w:t>
      </w:r>
    </w:p>
    <w:p>
      <w:pPr>
        <w:ind w:left="420"/>
      </w:pPr>
      <w:r>
        <w:t xml:space="preserve">3. § 22 Abs. 2 Nr. 3 des Europawahlgesetzes an die Stelle des § 15 Abs. 2 Nr. 2 des Bundeswahlgesetzes tritt.</w:t>
      </w:r>
    </w:p>
    <w:p>
      <w:r>
        <w:t xml:space="preserve">Zeiten der Mitgliedschaft im Europäischen Parlament gelten als Zeiten der Mitgliedschaft im Bundestag. Versorgungsansprüche nach diesem Gesetz ruhen neben einer Abgeordnetenentschädigung nach § 11 des Abgeordnetengesetzes. § 29 Abs. 3 bis 9 des Abgeordnetengesetzes findet entsprechende Anwendung.</w:t>
      </w:r>
    </w:p>
    <w:p>
      <w:r>
        <w:rPr>
          <w:color w:val="555555"/>
          <w:sz w:val="17"/>
        </w:rPr>
        <w:t xml:space="preserve">Zitiervorschlag: § 10b EuAbgG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https://recht.nulegal.eu/gesetze/EuAbgG/10b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