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EthylenoxidV</w:t>
      </w:r>
    </w:p>
    <w:p>
      <w:r>
        <w:rPr>
          <w:color w:val="555555"/>
          <w:sz w:val="18"/>
        </w:rPr>
        <w:t xml:space="preserve">Verordnung über ein Verbot der Verwendung von Ethylenoxid bei Arzneimitteln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6 Abs. 1 und 2 und § 83 Abs. 1 und 2 des Arzneimittelgesetzes vom 24. August 1976 (BGBl. I S. 2445, 2448), § 6 geändert gemäß Artikel 1 der Dritten Zuständigkeitsanpassungs-Verordnung vom 26. November 1986 (BGBl. I S. 2089), wird im Einvernehmen mit dem Bundesminister für Ernährung, Landwirtschaft und Forsten verordnet:</w:t>
      </w:r>
    </w:p>
    <w:p>
      <w:r>
        <w:rPr>
          <w:color w:val="555555"/>
          <w:sz w:val="17"/>
        </w:rPr>
        <w:t xml:space="preserve">Zitiervorschlag: Eingangsformel EthylenoxidV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https://recht.nulegal.eu/gesetze/EthylenoxidV/eingangsformel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