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EthylenoxidV</w:t>
      </w:r>
    </w:p>
    <w:p>
      <w:r>
        <w:rPr>
          <w:color w:val="555555"/>
          <w:sz w:val="18"/>
        </w:rPr>
        <w:t xml:space="preserve">Verordnung über ein Verbot der Verwendung von Ethylenoxid bei Arzneimitteln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§ 95 Abs. 1 Nr. 2 und Abs. 2 bis 4 des Arzneimittelgesetzes wird bestraft, wer vorsätzlich oder fahrlässig entgegen § 1 Abs. 2 Arzneimittel in den Verkehr bringt.</w:t>
      </w:r>
    </w:p>
    <w:p>
      <w:r>
        <w:t xml:space="preserve">(2) Nach § 96 Nummer 2 des Arzneimittelgesetzes wird bestraft, wer entgegen § 1 Abs. 1 Ethylenoxid verwendet.</w:t>
      </w:r>
    </w:p>
    <w:p>
      <w:r>
        <w:t xml:space="preserve">(3) Wer eine in Absatz 2 bezeichnete Handlung fahrlässig begeht, handelt nach § 97 Abs. 1 des Arzneimittelgesetzes ordnungswidrig.</w:t>
      </w:r>
    </w:p>
    <w:p>
      <w:r>
        <w:rPr>
          <w:color w:val="555555"/>
          <w:sz w:val="17"/>
        </w:rPr>
        <w:t xml:space="preserve">Zitiervorschlag: § 2 EthylenoxidV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https://recht.nulegal.eu/gesetze/EthylenoxidV/2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