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EthRG — Pflicht zur Verschwiegenheit</w:t>
      </w:r>
    </w:p>
    <w:p>
      <w:r>
        <w:rPr>
          <w:color w:val="555555"/>
          <w:sz w:val="18"/>
        </w:rPr>
        <w:t xml:space="preserve">Ethikratgesetz</w:t>
      </w:r>
    </w:p>
    <w:p>
      <w:r>
        <w:rPr>
          <w:color w:val="555555"/>
          <w:sz w:val="18"/>
        </w:rPr>
        <w:t xml:space="preserve">Stand: 10.06.2019 (konsolidierte Textfassung, kein amtliches Inkrafttretensdatum)</w:t>
      </w:r>
    </w:p>
    <w:p>
      <w:r>
        <w:t xml:space="preserve">Die Mitglieder des Deutschen Ethikrats und die Angehörigen der Geschäftsstelle sind zur Verschwiegenheit über die nicht öffentlichen Beratungen und die vom Deutschen Ethikrat als vertraulich bezeichneten Beratungsunterlagen verpflichtet. Die Pflicht zur Verschwiegenheit bezieht sich auch auf Informationen, die dem Deutschen Ethikrat gegeben und als vertraulich bezeichnet werden.</w:t>
      </w:r>
    </w:p>
    <w:p>
      <w:r>
        <w:rPr>
          <w:color w:val="555555"/>
          <w:sz w:val="17"/>
        </w:rPr>
        <w:t xml:space="preserve">Zitiervorschlag: § 9 EthRG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https://recht.nulegal.eu/gesetze/EthRG/9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