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EthRG — Öffentlichkeit</w:t>
      </w:r>
    </w:p>
    <w:p>
      <w:r>
        <w:rPr>
          <w:color w:val="555555"/>
          <w:sz w:val="18"/>
        </w:rPr>
        <w:t xml:space="preserve">Ethikratgesetz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Beratungen des Deutschen Ethikrats sind öffentlich; er kann auch nicht öffentlich beraten und die Ergebnisse nicht öffentlicher Beratungen veröffentlichen.</w:t>
      </w:r>
    </w:p>
    <w:p>
      <w:r>
        <w:t xml:space="preserve">(2) Der Deutsche Ethikrat veröffentlicht seine Stellungnahmen, Empfehlungen und Berichte.</w:t>
      </w:r>
    </w:p>
    <w:p>
      <w:r>
        <w:t xml:space="preserve">(3) Vertreten Mitglieder bei der Abfassung eine abweichende Auffassung, so können sie diese in der Stellungnahme, der Empfehlung oder dem Bericht zum Ausdruck bringen.</w:t>
      </w:r>
    </w:p>
    <w:p>
      <w:r>
        <w:rPr>
          <w:color w:val="555555"/>
          <w:sz w:val="17"/>
        </w:rPr>
        <w:t xml:space="preserve">Zitiervorschlag: § 7 EthRG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https://recht.nulegal.eu/gesetze/EthRG/7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