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EthRG — Arbeitsweise</w:t>
      </w:r>
    </w:p>
    <w:p>
      <w:r>
        <w:rPr>
          <w:color w:val="555555"/>
          <w:sz w:val="18"/>
        </w:rPr>
        <w:t xml:space="preserve">Ethikratgesetz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Ethikrat wählt in geheimer Wahl aus seiner Mitte Vorsitz und Stellvertretung für die Dauer von vier Jahren. Eine Wiederwahl ist einmal möglich.</w:t>
      </w:r>
    </w:p>
    <w:p>
      <w:r>
        <w:t xml:space="preserve">(2) Der Deutsche Ethikrat gibt sich eine Geschäftsordnung.</w:t>
      </w:r>
    </w:p>
    <w:p>
      <w:r>
        <w:t xml:space="preserve">(3) Der Deutsche Ethikrat kann Arbeitsgruppen einsetzen und Gutachten durch dritte Personen erstellen lassen.</w:t>
      </w:r>
    </w:p>
    <w:p>
      <w:r>
        <w:rPr>
          <w:color w:val="555555"/>
          <w:sz w:val="17"/>
        </w:rPr>
        <w:t xml:space="preserve">Zitiervorschlag: § 6 EthRG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https://recht.nulegal.eu/gesetze/EthRG/6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