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EthRG — Inkrafttreten</w:t>
      </w:r>
    </w:p>
    <w:p>
      <w:r>
        <w:rPr>
          <w:color w:val="555555"/>
          <w:sz w:val="18"/>
        </w:rPr>
        <w:t xml:space="preserve">Ethikratgesetz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August 2007 in Kraft.</w:t>
      </w:r>
    </w:p>
    <w:p>
      <w:r>
        <w:rPr>
          <w:color w:val="555555"/>
          <w:sz w:val="17"/>
        </w:rPr>
        <w:t xml:space="preserve">Zitiervorschlag: § 11 EthRG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https://recht.nulegal.eu/gesetze/EthRG/11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